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10F51" w14:paraId="43272BBC" w14:textId="77777777">
        <w:tblPrEx>
          <w:tblCellMar>
            <w:top w:w="0" w:type="dxa"/>
            <w:bottom w:w="0" w:type="dxa"/>
          </w:tblCellMar>
        </w:tblPrEx>
        <w:trPr>
          <w:tblCellSpacing w:w="60" w:type="dxa"/>
        </w:trPr>
        <w:tc>
          <w:tcPr>
            <w:tcW w:w="1200" w:type="pct"/>
            <w:shd w:val="clear" w:color="auto" w:fill="E7F0F9"/>
          </w:tcPr>
          <w:p w14:paraId="51749CF4" w14:textId="77777777" w:rsidR="00110F51" w:rsidRDefault="00000000">
            <w:pPr>
              <w:spacing w:after="0" w:line="240" w:lineRule="auto"/>
            </w:pPr>
            <w:r>
              <w:rPr>
                <w:b/>
              </w:rPr>
              <w:t>RKP broj</w:t>
            </w:r>
          </w:p>
        </w:tc>
        <w:tc>
          <w:tcPr>
            <w:tcW w:w="0" w:type="auto"/>
            <w:shd w:val="clear" w:color="auto" w:fill="E7F0F9"/>
          </w:tcPr>
          <w:p w14:paraId="01B62146" w14:textId="77777777" w:rsidR="00110F51" w:rsidRDefault="00000000">
            <w:pPr>
              <w:spacing w:after="0" w:line="240" w:lineRule="auto"/>
            </w:pPr>
            <w:r>
              <w:t>50258</w:t>
            </w:r>
          </w:p>
        </w:tc>
      </w:tr>
      <w:tr w:rsidR="00110F51" w14:paraId="1BD3C38D" w14:textId="77777777">
        <w:tblPrEx>
          <w:tblCellMar>
            <w:top w:w="0" w:type="dxa"/>
            <w:bottom w:w="0" w:type="dxa"/>
          </w:tblCellMar>
        </w:tblPrEx>
        <w:trPr>
          <w:tblCellSpacing w:w="60" w:type="dxa"/>
        </w:trPr>
        <w:tc>
          <w:tcPr>
            <w:tcW w:w="1200" w:type="pct"/>
            <w:shd w:val="clear" w:color="auto" w:fill="E7F0F9"/>
          </w:tcPr>
          <w:p w14:paraId="50C592B5" w14:textId="77777777" w:rsidR="00110F51" w:rsidRDefault="00000000">
            <w:pPr>
              <w:spacing w:after="0" w:line="240" w:lineRule="auto"/>
            </w:pPr>
            <w:r>
              <w:rPr>
                <w:b/>
              </w:rPr>
              <w:t>Naziv obveznika</w:t>
            </w:r>
          </w:p>
        </w:tc>
        <w:tc>
          <w:tcPr>
            <w:tcW w:w="0" w:type="auto"/>
            <w:shd w:val="clear" w:color="auto" w:fill="E7F0F9"/>
          </w:tcPr>
          <w:p w14:paraId="4699F834" w14:textId="77777777" w:rsidR="00110F51" w:rsidRDefault="00000000">
            <w:pPr>
              <w:spacing w:after="0" w:line="240" w:lineRule="auto"/>
            </w:pPr>
            <w:r>
              <w:t>Hrvatski kulturni dom na Sušaku</w:t>
            </w:r>
          </w:p>
        </w:tc>
      </w:tr>
      <w:tr w:rsidR="00110F51" w14:paraId="4B0385B4" w14:textId="77777777">
        <w:tblPrEx>
          <w:tblCellMar>
            <w:top w:w="0" w:type="dxa"/>
            <w:bottom w:w="0" w:type="dxa"/>
          </w:tblCellMar>
        </w:tblPrEx>
        <w:trPr>
          <w:tblCellSpacing w:w="60" w:type="dxa"/>
        </w:trPr>
        <w:tc>
          <w:tcPr>
            <w:tcW w:w="1200" w:type="pct"/>
            <w:shd w:val="clear" w:color="auto" w:fill="E7F0F9"/>
          </w:tcPr>
          <w:p w14:paraId="2601B7D7" w14:textId="77777777" w:rsidR="00110F51" w:rsidRDefault="00000000">
            <w:pPr>
              <w:spacing w:after="0" w:line="240" w:lineRule="auto"/>
            </w:pPr>
            <w:r>
              <w:rPr>
                <w:b/>
              </w:rPr>
              <w:t>Razina</w:t>
            </w:r>
          </w:p>
        </w:tc>
        <w:tc>
          <w:tcPr>
            <w:tcW w:w="0" w:type="auto"/>
            <w:shd w:val="clear" w:color="auto" w:fill="E7F0F9"/>
          </w:tcPr>
          <w:p w14:paraId="2AF66EC0" w14:textId="77777777" w:rsidR="00110F51" w:rsidRDefault="00000000">
            <w:pPr>
              <w:spacing w:after="0" w:line="240" w:lineRule="auto"/>
            </w:pPr>
            <w:r>
              <w:t>21</w:t>
            </w:r>
          </w:p>
        </w:tc>
      </w:tr>
    </w:tbl>
    <w:p w14:paraId="612D2EF1" w14:textId="77777777" w:rsidR="00110F51" w:rsidRDefault="00000000">
      <w:r>
        <w:br/>
      </w:r>
    </w:p>
    <w:p w14:paraId="1D6ECA9D" w14:textId="77777777" w:rsidR="00110F51" w:rsidRDefault="00000000">
      <w:pPr>
        <w:spacing w:line="240" w:lineRule="auto"/>
        <w:jc w:val="center"/>
      </w:pPr>
      <w:r>
        <w:rPr>
          <w:b/>
          <w:sz w:val="28"/>
        </w:rPr>
        <w:t>BILJEŠKE UZ FINANCIJSKE IZVJEŠTAJE</w:t>
      </w:r>
    </w:p>
    <w:p w14:paraId="3E5FB490" w14:textId="77777777" w:rsidR="00110F51" w:rsidRDefault="00000000">
      <w:pPr>
        <w:spacing w:line="240" w:lineRule="auto"/>
        <w:jc w:val="center"/>
      </w:pPr>
      <w:r>
        <w:rPr>
          <w:b/>
          <w:sz w:val="28"/>
        </w:rPr>
        <w:t>ZA RAZDOBLJE</w:t>
      </w:r>
    </w:p>
    <w:p w14:paraId="789ED5BF" w14:textId="77777777" w:rsidR="00110F51" w:rsidRDefault="00000000">
      <w:pPr>
        <w:spacing w:line="240" w:lineRule="auto"/>
        <w:jc w:val="center"/>
      </w:pPr>
      <w:r>
        <w:rPr>
          <w:b/>
          <w:sz w:val="28"/>
        </w:rPr>
        <w:t>I - XII 2025.</w:t>
      </w:r>
    </w:p>
    <w:p w14:paraId="007AEDA3" w14:textId="77777777" w:rsidR="00110F51" w:rsidRDefault="00110F51"/>
    <w:p w14:paraId="06FB3367" w14:textId="77777777" w:rsidR="00110F51" w:rsidRDefault="00000000">
      <w:pPr>
        <w:keepNext/>
        <w:spacing w:line="240" w:lineRule="auto"/>
        <w:jc w:val="center"/>
      </w:pPr>
      <w:r>
        <w:rPr>
          <w:b/>
          <w:sz w:val="28"/>
        </w:rPr>
        <w:t>Izvještaj o prihodima i rashodima, primicima i izdacima</w:t>
      </w:r>
    </w:p>
    <w:p w14:paraId="6DEF97D6" w14:textId="77777777" w:rsidR="00110F51"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0508D5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A0D289"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B98F4A"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BAC23C"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BA1BB1"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C50900"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F73713" w14:textId="77777777" w:rsidR="00110F51" w:rsidRDefault="00000000">
            <w:pPr>
              <w:keepNext/>
              <w:keepLines/>
              <w:spacing w:after="0" w:line="240" w:lineRule="auto"/>
              <w:jc w:val="center"/>
            </w:pPr>
            <w:r>
              <w:rPr>
                <w:b/>
                <w:sz w:val="18"/>
              </w:rPr>
              <w:t>Indeks (%)</w:t>
            </w:r>
          </w:p>
        </w:tc>
      </w:tr>
      <w:tr w:rsidR="00110F51" w14:paraId="3225CBB3" w14:textId="77777777">
        <w:tblPrEx>
          <w:tblCellMar>
            <w:top w:w="0" w:type="dxa"/>
            <w:bottom w:w="0" w:type="dxa"/>
          </w:tblCellMar>
        </w:tblPrEx>
        <w:trPr>
          <w:cantSplit/>
          <w:trHeight w:val="560"/>
        </w:trPr>
        <w:tc>
          <w:tcPr>
            <w:tcW w:w="700" w:type="dxa"/>
            <w:tcMar>
              <w:top w:w="0" w:type="dxa"/>
              <w:bottom w:w="0" w:type="dxa"/>
            </w:tcMar>
            <w:vAlign w:val="center"/>
          </w:tcPr>
          <w:p w14:paraId="3F05BE3F" w14:textId="77777777" w:rsidR="00110F51" w:rsidRDefault="00000000">
            <w:pPr>
              <w:keepNext/>
              <w:keepLines/>
              <w:spacing w:after="0" w:line="240" w:lineRule="auto"/>
            </w:pPr>
            <w:r>
              <w:rPr>
                <w:sz w:val="18"/>
              </w:rPr>
              <w:t>6</w:t>
            </w:r>
          </w:p>
        </w:tc>
        <w:tc>
          <w:tcPr>
            <w:tcW w:w="3180" w:type="dxa"/>
            <w:tcMar>
              <w:top w:w="0" w:type="dxa"/>
              <w:bottom w:w="0" w:type="dxa"/>
            </w:tcMar>
            <w:vAlign w:val="center"/>
          </w:tcPr>
          <w:p w14:paraId="5A605C57" w14:textId="77777777" w:rsidR="00110F51"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DC34D32" w14:textId="77777777" w:rsidR="00110F51" w:rsidRDefault="00000000">
            <w:pPr>
              <w:keepNext/>
              <w:keepLines/>
              <w:spacing w:after="0" w:line="240" w:lineRule="auto"/>
            </w:pPr>
            <w:r>
              <w:rPr>
                <w:sz w:val="18"/>
              </w:rPr>
              <w:t>6</w:t>
            </w:r>
          </w:p>
        </w:tc>
        <w:tc>
          <w:tcPr>
            <w:tcW w:w="1860" w:type="dxa"/>
            <w:tcMar>
              <w:top w:w="0" w:type="dxa"/>
              <w:bottom w:w="0" w:type="dxa"/>
            </w:tcMar>
            <w:vAlign w:val="center"/>
          </w:tcPr>
          <w:p w14:paraId="08755DF8" w14:textId="77777777" w:rsidR="00110F51" w:rsidRDefault="00000000">
            <w:pPr>
              <w:keepNext/>
              <w:keepLines/>
              <w:spacing w:after="0" w:line="240" w:lineRule="auto"/>
              <w:jc w:val="right"/>
            </w:pPr>
            <w:r>
              <w:rPr>
                <w:sz w:val="18"/>
              </w:rPr>
              <w:t>921.216,37</w:t>
            </w:r>
          </w:p>
        </w:tc>
        <w:tc>
          <w:tcPr>
            <w:tcW w:w="1860" w:type="dxa"/>
            <w:tcMar>
              <w:top w:w="0" w:type="dxa"/>
              <w:bottom w:w="0" w:type="dxa"/>
            </w:tcMar>
            <w:vAlign w:val="center"/>
          </w:tcPr>
          <w:p w14:paraId="19A2AEAA" w14:textId="77777777" w:rsidR="00110F51" w:rsidRDefault="00000000">
            <w:pPr>
              <w:keepNext/>
              <w:keepLines/>
              <w:spacing w:after="0" w:line="240" w:lineRule="auto"/>
              <w:jc w:val="right"/>
            </w:pPr>
            <w:r>
              <w:rPr>
                <w:sz w:val="18"/>
              </w:rPr>
              <w:t>928.354,55</w:t>
            </w:r>
          </w:p>
        </w:tc>
        <w:tc>
          <w:tcPr>
            <w:tcW w:w="700" w:type="dxa"/>
            <w:tcMar>
              <w:top w:w="0" w:type="dxa"/>
              <w:bottom w:w="0" w:type="dxa"/>
            </w:tcMar>
            <w:vAlign w:val="center"/>
          </w:tcPr>
          <w:p w14:paraId="111372BF" w14:textId="77777777" w:rsidR="00110F51" w:rsidRDefault="00000000">
            <w:pPr>
              <w:keepNext/>
              <w:keepLines/>
              <w:spacing w:after="0" w:line="240" w:lineRule="auto"/>
              <w:jc w:val="right"/>
            </w:pPr>
            <w:r>
              <w:rPr>
                <w:sz w:val="18"/>
              </w:rPr>
              <w:t>100,8</w:t>
            </w:r>
          </w:p>
        </w:tc>
      </w:tr>
      <w:tr w:rsidR="00110F51" w14:paraId="049174AF" w14:textId="77777777">
        <w:tblPrEx>
          <w:tblCellMar>
            <w:top w:w="0" w:type="dxa"/>
            <w:bottom w:w="0" w:type="dxa"/>
          </w:tblCellMar>
        </w:tblPrEx>
        <w:trPr>
          <w:cantSplit/>
          <w:trHeight w:val="560"/>
        </w:trPr>
        <w:tc>
          <w:tcPr>
            <w:tcW w:w="700" w:type="dxa"/>
            <w:tcMar>
              <w:top w:w="0" w:type="dxa"/>
              <w:bottom w:w="0" w:type="dxa"/>
            </w:tcMar>
            <w:vAlign w:val="center"/>
          </w:tcPr>
          <w:p w14:paraId="6F046259" w14:textId="77777777" w:rsidR="00110F51" w:rsidRDefault="00000000">
            <w:pPr>
              <w:keepNext/>
              <w:keepLines/>
              <w:spacing w:after="0" w:line="240" w:lineRule="auto"/>
            </w:pPr>
            <w:r>
              <w:rPr>
                <w:sz w:val="18"/>
              </w:rPr>
              <w:t>3</w:t>
            </w:r>
          </w:p>
        </w:tc>
        <w:tc>
          <w:tcPr>
            <w:tcW w:w="3180" w:type="dxa"/>
            <w:tcMar>
              <w:top w:w="0" w:type="dxa"/>
              <w:bottom w:w="0" w:type="dxa"/>
            </w:tcMar>
            <w:vAlign w:val="center"/>
          </w:tcPr>
          <w:p w14:paraId="163DE5BF" w14:textId="77777777" w:rsidR="00110F51"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FA39C23" w14:textId="77777777" w:rsidR="00110F51" w:rsidRDefault="00000000">
            <w:pPr>
              <w:keepNext/>
              <w:keepLines/>
              <w:spacing w:after="0" w:line="240" w:lineRule="auto"/>
            </w:pPr>
            <w:r>
              <w:rPr>
                <w:sz w:val="18"/>
              </w:rPr>
              <w:t>3</w:t>
            </w:r>
          </w:p>
        </w:tc>
        <w:tc>
          <w:tcPr>
            <w:tcW w:w="1860" w:type="dxa"/>
            <w:tcMar>
              <w:top w:w="0" w:type="dxa"/>
              <w:bottom w:w="0" w:type="dxa"/>
            </w:tcMar>
            <w:vAlign w:val="center"/>
          </w:tcPr>
          <w:p w14:paraId="22A9DD0F" w14:textId="77777777" w:rsidR="00110F51" w:rsidRDefault="00000000">
            <w:pPr>
              <w:keepNext/>
              <w:keepLines/>
              <w:spacing w:after="0" w:line="240" w:lineRule="auto"/>
              <w:jc w:val="right"/>
            </w:pPr>
            <w:r>
              <w:rPr>
                <w:sz w:val="18"/>
              </w:rPr>
              <w:t>744.636,07</w:t>
            </w:r>
          </w:p>
        </w:tc>
        <w:tc>
          <w:tcPr>
            <w:tcW w:w="1860" w:type="dxa"/>
            <w:tcMar>
              <w:top w:w="0" w:type="dxa"/>
              <w:bottom w:w="0" w:type="dxa"/>
            </w:tcMar>
            <w:vAlign w:val="center"/>
          </w:tcPr>
          <w:p w14:paraId="699242F7" w14:textId="77777777" w:rsidR="00110F51" w:rsidRDefault="00000000">
            <w:pPr>
              <w:keepNext/>
              <w:keepLines/>
              <w:spacing w:after="0" w:line="240" w:lineRule="auto"/>
              <w:jc w:val="right"/>
            </w:pPr>
            <w:r>
              <w:rPr>
                <w:sz w:val="18"/>
              </w:rPr>
              <w:t>905.696,84</w:t>
            </w:r>
          </w:p>
        </w:tc>
        <w:tc>
          <w:tcPr>
            <w:tcW w:w="700" w:type="dxa"/>
            <w:tcMar>
              <w:top w:w="0" w:type="dxa"/>
              <w:bottom w:w="0" w:type="dxa"/>
            </w:tcMar>
            <w:vAlign w:val="center"/>
          </w:tcPr>
          <w:p w14:paraId="2B1FF89D" w14:textId="77777777" w:rsidR="00110F51" w:rsidRDefault="00000000">
            <w:pPr>
              <w:keepNext/>
              <w:keepLines/>
              <w:spacing w:after="0" w:line="240" w:lineRule="auto"/>
              <w:jc w:val="right"/>
            </w:pPr>
            <w:r>
              <w:rPr>
                <w:sz w:val="18"/>
              </w:rPr>
              <w:t>121,6</w:t>
            </w:r>
          </w:p>
        </w:tc>
      </w:tr>
      <w:tr w:rsidR="00110F51" w14:paraId="7107ADD9" w14:textId="77777777">
        <w:tblPrEx>
          <w:tblCellMar>
            <w:top w:w="0" w:type="dxa"/>
            <w:bottom w:w="0" w:type="dxa"/>
          </w:tblCellMar>
        </w:tblPrEx>
        <w:trPr>
          <w:cantSplit/>
          <w:trHeight w:val="560"/>
        </w:trPr>
        <w:tc>
          <w:tcPr>
            <w:tcW w:w="700" w:type="dxa"/>
            <w:tcMar>
              <w:top w:w="0" w:type="dxa"/>
              <w:bottom w:w="0" w:type="dxa"/>
            </w:tcMar>
            <w:vAlign w:val="center"/>
          </w:tcPr>
          <w:p w14:paraId="5B36024A" w14:textId="77777777" w:rsidR="00110F51" w:rsidRDefault="00110F51">
            <w:pPr>
              <w:keepNext/>
              <w:keepLines/>
              <w:spacing w:after="0" w:line="240" w:lineRule="auto"/>
            </w:pPr>
          </w:p>
        </w:tc>
        <w:tc>
          <w:tcPr>
            <w:tcW w:w="3180" w:type="dxa"/>
            <w:tcMar>
              <w:top w:w="0" w:type="dxa"/>
              <w:bottom w:w="0" w:type="dxa"/>
            </w:tcMar>
            <w:vAlign w:val="center"/>
          </w:tcPr>
          <w:p w14:paraId="4202AADF" w14:textId="77777777" w:rsidR="00110F51"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7B620C9E" w14:textId="77777777" w:rsidR="00110F51" w:rsidRDefault="00000000">
            <w:pPr>
              <w:keepNext/>
              <w:keepLines/>
              <w:spacing w:after="0" w:line="240" w:lineRule="auto"/>
            </w:pPr>
            <w:r>
              <w:rPr>
                <w:b/>
                <w:sz w:val="18"/>
              </w:rPr>
              <w:t>X001</w:t>
            </w:r>
          </w:p>
        </w:tc>
        <w:tc>
          <w:tcPr>
            <w:tcW w:w="1860" w:type="dxa"/>
            <w:tcMar>
              <w:top w:w="0" w:type="dxa"/>
              <w:bottom w:w="0" w:type="dxa"/>
            </w:tcMar>
            <w:vAlign w:val="center"/>
          </w:tcPr>
          <w:p w14:paraId="7B8B00E8" w14:textId="77777777" w:rsidR="00110F51" w:rsidRDefault="00000000">
            <w:pPr>
              <w:keepNext/>
              <w:keepLines/>
              <w:spacing w:after="0" w:line="240" w:lineRule="auto"/>
              <w:jc w:val="right"/>
            </w:pPr>
            <w:r>
              <w:rPr>
                <w:b/>
                <w:sz w:val="18"/>
              </w:rPr>
              <w:t>176.580,30</w:t>
            </w:r>
          </w:p>
        </w:tc>
        <w:tc>
          <w:tcPr>
            <w:tcW w:w="1860" w:type="dxa"/>
            <w:tcMar>
              <w:top w:w="0" w:type="dxa"/>
              <w:bottom w:w="0" w:type="dxa"/>
            </w:tcMar>
            <w:vAlign w:val="center"/>
          </w:tcPr>
          <w:p w14:paraId="1EAEB9B2" w14:textId="77777777" w:rsidR="00110F51" w:rsidRDefault="00000000">
            <w:pPr>
              <w:keepNext/>
              <w:keepLines/>
              <w:spacing w:after="0" w:line="240" w:lineRule="auto"/>
              <w:jc w:val="right"/>
            </w:pPr>
            <w:r>
              <w:rPr>
                <w:b/>
                <w:sz w:val="18"/>
              </w:rPr>
              <w:t>22.657,71</w:t>
            </w:r>
          </w:p>
        </w:tc>
        <w:tc>
          <w:tcPr>
            <w:tcW w:w="700" w:type="dxa"/>
            <w:tcMar>
              <w:top w:w="0" w:type="dxa"/>
              <w:bottom w:w="0" w:type="dxa"/>
            </w:tcMar>
            <w:vAlign w:val="center"/>
          </w:tcPr>
          <w:p w14:paraId="3016AD6B" w14:textId="77777777" w:rsidR="00110F51" w:rsidRDefault="00000000">
            <w:pPr>
              <w:keepNext/>
              <w:keepLines/>
              <w:spacing w:after="0" w:line="240" w:lineRule="auto"/>
              <w:jc w:val="right"/>
            </w:pPr>
            <w:r>
              <w:rPr>
                <w:b/>
                <w:sz w:val="18"/>
              </w:rPr>
              <w:t>12,8</w:t>
            </w:r>
          </w:p>
        </w:tc>
      </w:tr>
      <w:tr w:rsidR="00110F51" w14:paraId="7BD8735B" w14:textId="77777777">
        <w:tblPrEx>
          <w:tblCellMar>
            <w:top w:w="0" w:type="dxa"/>
            <w:bottom w:w="0" w:type="dxa"/>
          </w:tblCellMar>
        </w:tblPrEx>
        <w:trPr>
          <w:cantSplit/>
          <w:trHeight w:val="560"/>
        </w:trPr>
        <w:tc>
          <w:tcPr>
            <w:tcW w:w="700" w:type="dxa"/>
            <w:tcMar>
              <w:top w:w="0" w:type="dxa"/>
              <w:bottom w:w="0" w:type="dxa"/>
            </w:tcMar>
            <w:vAlign w:val="center"/>
          </w:tcPr>
          <w:p w14:paraId="4EA53EB7" w14:textId="77777777" w:rsidR="00110F51" w:rsidRDefault="00000000">
            <w:pPr>
              <w:keepNext/>
              <w:keepLines/>
              <w:spacing w:after="0" w:line="240" w:lineRule="auto"/>
            </w:pPr>
            <w:r>
              <w:rPr>
                <w:sz w:val="18"/>
              </w:rPr>
              <w:t>7</w:t>
            </w:r>
          </w:p>
        </w:tc>
        <w:tc>
          <w:tcPr>
            <w:tcW w:w="3180" w:type="dxa"/>
            <w:tcMar>
              <w:top w:w="0" w:type="dxa"/>
              <w:bottom w:w="0" w:type="dxa"/>
            </w:tcMar>
            <w:vAlign w:val="center"/>
          </w:tcPr>
          <w:p w14:paraId="3463C713" w14:textId="77777777" w:rsidR="00110F51"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2D90083" w14:textId="77777777" w:rsidR="00110F51" w:rsidRDefault="00000000">
            <w:pPr>
              <w:keepNext/>
              <w:keepLines/>
              <w:spacing w:after="0" w:line="240" w:lineRule="auto"/>
            </w:pPr>
            <w:r>
              <w:rPr>
                <w:sz w:val="18"/>
              </w:rPr>
              <w:t>7</w:t>
            </w:r>
          </w:p>
        </w:tc>
        <w:tc>
          <w:tcPr>
            <w:tcW w:w="1860" w:type="dxa"/>
            <w:tcMar>
              <w:top w:w="0" w:type="dxa"/>
              <w:bottom w:w="0" w:type="dxa"/>
            </w:tcMar>
            <w:vAlign w:val="center"/>
          </w:tcPr>
          <w:p w14:paraId="09F58EEA" w14:textId="77777777" w:rsidR="00110F51" w:rsidRDefault="00000000">
            <w:pPr>
              <w:keepNext/>
              <w:keepLines/>
              <w:spacing w:after="0" w:line="240" w:lineRule="auto"/>
              <w:jc w:val="right"/>
            </w:pPr>
            <w:r>
              <w:rPr>
                <w:sz w:val="18"/>
              </w:rPr>
              <w:t>0,00</w:t>
            </w:r>
          </w:p>
        </w:tc>
        <w:tc>
          <w:tcPr>
            <w:tcW w:w="1860" w:type="dxa"/>
            <w:tcMar>
              <w:top w:w="0" w:type="dxa"/>
              <w:bottom w:w="0" w:type="dxa"/>
            </w:tcMar>
            <w:vAlign w:val="center"/>
          </w:tcPr>
          <w:p w14:paraId="2C785B16" w14:textId="77777777" w:rsidR="00110F51" w:rsidRDefault="00000000">
            <w:pPr>
              <w:keepNext/>
              <w:keepLines/>
              <w:spacing w:after="0" w:line="240" w:lineRule="auto"/>
              <w:jc w:val="right"/>
            </w:pPr>
            <w:r>
              <w:rPr>
                <w:sz w:val="18"/>
              </w:rPr>
              <w:t>0,00</w:t>
            </w:r>
          </w:p>
        </w:tc>
        <w:tc>
          <w:tcPr>
            <w:tcW w:w="700" w:type="dxa"/>
            <w:tcMar>
              <w:top w:w="0" w:type="dxa"/>
              <w:bottom w:w="0" w:type="dxa"/>
            </w:tcMar>
            <w:vAlign w:val="center"/>
          </w:tcPr>
          <w:p w14:paraId="204B17B0" w14:textId="77777777" w:rsidR="00110F51" w:rsidRDefault="00000000">
            <w:pPr>
              <w:keepNext/>
              <w:keepLines/>
              <w:spacing w:after="0" w:line="240" w:lineRule="auto"/>
              <w:jc w:val="right"/>
            </w:pPr>
            <w:r>
              <w:rPr>
                <w:sz w:val="18"/>
              </w:rPr>
              <w:t>-</w:t>
            </w:r>
          </w:p>
        </w:tc>
      </w:tr>
      <w:tr w:rsidR="00110F51" w14:paraId="55CE8706" w14:textId="77777777">
        <w:tblPrEx>
          <w:tblCellMar>
            <w:top w:w="0" w:type="dxa"/>
            <w:bottom w:w="0" w:type="dxa"/>
          </w:tblCellMar>
        </w:tblPrEx>
        <w:trPr>
          <w:cantSplit/>
          <w:trHeight w:val="560"/>
        </w:trPr>
        <w:tc>
          <w:tcPr>
            <w:tcW w:w="700" w:type="dxa"/>
            <w:tcMar>
              <w:top w:w="0" w:type="dxa"/>
              <w:bottom w:w="0" w:type="dxa"/>
            </w:tcMar>
            <w:vAlign w:val="center"/>
          </w:tcPr>
          <w:p w14:paraId="39CE61A5" w14:textId="77777777" w:rsidR="00110F51" w:rsidRDefault="00000000">
            <w:pPr>
              <w:keepNext/>
              <w:keepLines/>
              <w:spacing w:after="0" w:line="240" w:lineRule="auto"/>
            </w:pPr>
            <w:r>
              <w:rPr>
                <w:sz w:val="18"/>
              </w:rPr>
              <w:t>4</w:t>
            </w:r>
          </w:p>
        </w:tc>
        <w:tc>
          <w:tcPr>
            <w:tcW w:w="3180" w:type="dxa"/>
            <w:tcMar>
              <w:top w:w="0" w:type="dxa"/>
              <w:bottom w:w="0" w:type="dxa"/>
            </w:tcMar>
            <w:vAlign w:val="center"/>
          </w:tcPr>
          <w:p w14:paraId="3D84CCE2" w14:textId="77777777" w:rsidR="00110F51"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AB4E10E" w14:textId="77777777" w:rsidR="00110F51" w:rsidRDefault="00000000">
            <w:pPr>
              <w:keepNext/>
              <w:keepLines/>
              <w:spacing w:after="0" w:line="240" w:lineRule="auto"/>
            </w:pPr>
            <w:r>
              <w:rPr>
                <w:sz w:val="18"/>
              </w:rPr>
              <w:t>4</w:t>
            </w:r>
          </w:p>
        </w:tc>
        <w:tc>
          <w:tcPr>
            <w:tcW w:w="1860" w:type="dxa"/>
            <w:tcMar>
              <w:top w:w="0" w:type="dxa"/>
              <w:bottom w:w="0" w:type="dxa"/>
            </w:tcMar>
            <w:vAlign w:val="center"/>
          </w:tcPr>
          <w:p w14:paraId="782A9F96" w14:textId="77777777" w:rsidR="00110F51" w:rsidRDefault="00000000">
            <w:pPr>
              <w:keepNext/>
              <w:keepLines/>
              <w:spacing w:after="0" w:line="240" w:lineRule="auto"/>
              <w:jc w:val="right"/>
            </w:pPr>
            <w:r>
              <w:rPr>
                <w:sz w:val="18"/>
              </w:rPr>
              <w:t>120.045,30</w:t>
            </w:r>
          </w:p>
        </w:tc>
        <w:tc>
          <w:tcPr>
            <w:tcW w:w="1860" w:type="dxa"/>
            <w:tcMar>
              <w:top w:w="0" w:type="dxa"/>
              <w:bottom w:w="0" w:type="dxa"/>
            </w:tcMar>
            <w:vAlign w:val="center"/>
          </w:tcPr>
          <w:p w14:paraId="163944F7" w14:textId="77777777" w:rsidR="00110F51" w:rsidRDefault="00000000">
            <w:pPr>
              <w:keepNext/>
              <w:keepLines/>
              <w:spacing w:after="0" w:line="240" w:lineRule="auto"/>
              <w:jc w:val="right"/>
            </w:pPr>
            <w:r>
              <w:rPr>
                <w:sz w:val="18"/>
              </w:rPr>
              <w:t>32.746,29</w:t>
            </w:r>
          </w:p>
        </w:tc>
        <w:tc>
          <w:tcPr>
            <w:tcW w:w="700" w:type="dxa"/>
            <w:tcMar>
              <w:top w:w="0" w:type="dxa"/>
              <w:bottom w:w="0" w:type="dxa"/>
            </w:tcMar>
            <w:vAlign w:val="center"/>
          </w:tcPr>
          <w:p w14:paraId="2E177ACB" w14:textId="77777777" w:rsidR="00110F51" w:rsidRDefault="00000000">
            <w:pPr>
              <w:keepNext/>
              <w:keepLines/>
              <w:spacing w:after="0" w:line="240" w:lineRule="auto"/>
              <w:jc w:val="right"/>
            </w:pPr>
            <w:r>
              <w:rPr>
                <w:sz w:val="18"/>
              </w:rPr>
              <w:t>27,3</w:t>
            </w:r>
          </w:p>
        </w:tc>
      </w:tr>
      <w:tr w:rsidR="00110F51" w14:paraId="29219EB5" w14:textId="77777777">
        <w:tblPrEx>
          <w:tblCellMar>
            <w:top w:w="0" w:type="dxa"/>
            <w:bottom w:w="0" w:type="dxa"/>
          </w:tblCellMar>
        </w:tblPrEx>
        <w:trPr>
          <w:cantSplit/>
          <w:trHeight w:val="560"/>
        </w:trPr>
        <w:tc>
          <w:tcPr>
            <w:tcW w:w="700" w:type="dxa"/>
            <w:tcMar>
              <w:top w:w="0" w:type="dxa"/>
              <w:bottom w:w="0" w:type="dxa"/>
            </w:tcMar>
            <w:vAlign w:val="center"/>
          </w:tcPr>
          <w:p w14:paraId="6F1EE3BE" w14:textId="77777777" w:rsidR="00110F51" w:rsidRDefault="00110F51">
            <w:pPr>
              <w:keepNext/>
              <w:keepLines/>
              <w:spacing w:after="0" w:line="240" w:lineRule="auto"/>
            </w:pPr>
          </w:p>
        </w:tc>
        <w:tc>
          <w:tcPr>
            <w:tcW w:w="3180" w:type="dxa"/>
            <w:tcMar>
              <w:top w:w="0" w:type="dxa"/>
              <w:bottom w:w="0" w:type="dxa"/>
            </w:tcMar>
            <w:vAlign w:val="center"/>
          </w:tcPr>
          <w:p w14:paraId="0F13E5D0" w14:textId="77777777" w:rsidR="00110F51"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96424B9" w14:textId="77777777" w:rsidR="00110F51" w:rsidRDefault="00000000">
            <w:pPr>
              <w:keepNext/>
              <w:keepLines/>
              <w:spacing w:after="0" w:line="240" w:lineRule="auto"/>
            </w:pPr>
            <w:r>
              <w:rPr>
                <w:b/>
                <w:sz w:val="18"/>
              </w:rPr>
              <w:t>Y002</w:t>
            </w:r>
          </w:p>
        </w:tc>
        <w:tc>
          <w:tcPr>
            <w:tcW w:w="1860" w:type="dxa"/>
            <w:tcMar>
              <w:top w:w="0" w:type="dxa"/>
              <w:bottom w:w="0" w:type="dxa"/>
            </w:tcMar>
            <w:vAlign w:val="center"/>
          </w:tcPr>
          <w:p w14:paraId="61E17D9C" w14:textId="77777777" w:rsidR="00110F51" w:rsidRDefault="00000000">
            <w:pPr>
              <w:keepNext/>
              <w:keepLines/>
              <w:spacing w:after="0" w:line="240" w:lineRule="auto"/>
              <w:jc w:val="right"/>
            </w:pPr>
            <w:r>
              <w:rPr>
                <w:b/>
                <w:sz w:val="18"/>
              </w:rPr>
              <w:t>120.045,30</w:t>
            </w:r>
          </w:p>
        </w:tc>
        <w:tc>
          <w:tcPr>
            <w:tcW w:w="1860" w:type="dxa"/>
            <w:tcMar>
              <w:top w:w="0" w:type="dxa"/>
              <w:bottom w:w="0" w:type="dxa"/>
            </w:tcMar>
            <w:vAlign w:val="center"/>
          </w:tcPr>
          <w:p w14:paraId="229CB08D" w14:textId="77777777" w:rsidR="00110F51" w:rsidRDefault="00000000">
            <w:pPr>
              <w:keepNext/>
              <w:keepLines/>
              <w:spacing w:after="0" w:line="240" w:lineRule="auto"/>
              <w:jc w:val="right"/>
            </w:pPr>
            <w:r>
              <w:rPr>
                <w:b/>
                <w:sz w:val="18"/>
              </w:rPr>
              <w:t>32.746,29</w:t>
            </w:r>
          </w:p>
        </w:tc>
        <w:tc>
          <w:tcPr>
            <w:tcW w:w="700" w:type="dxa"/>
            <w:tcMar>
              <w:top w:w="0" w:type="dxa"/>
              <w:bottom w:w="0" w:type="dxa"/>
            </w:tcMar>
            <w:vAlign w:val="center"/>
          </w:tcPr>
          <w:p w14:paraId="702DD3C2" w14:textId="77777777" w:rsidR="00110F51" w:rsidRDefault="00000000">
            <w:pPr>
              <w:keepNext/>
              <w:keepLines/>
              <w:spacing w:after="0" w:line="240" w:lineRule="auto"/>
              <w:jc w:val="right"/>
            </w:pPr>
            <w:r>
              <w:rPr>
                <w:b/>
                <w:sz w:val="18"/>
              </w:rPr>
              <w:t>27,3</w:t>
            </w:r>
          </w:p>
        </w:tc>
      </w:tr>
      <w:tr w:rsidR="00110F51" w14:paraId="440AAE84" w14:textId="77777777">
        <w:tblPrEx>
          <w:tblCellMar>
            <w:top w:w="0" w:type="dxa"/>
            <w:bottom w:w="0" w:type="dxa"/>
          </w:tblCellMar>
        </w:tblPrEx>
        <w:trPr>
          <w:cantSplit/>
          <w:trHeight w:val="560"/>
        </w:trPr>
        <w:tc>
          <w:tcPr>
            <w:tcW w:w="700" w:type="dxa"/>
            <w:tcMar>
              <w:top w:w="0" w:type="dxa"/>
              <w:bottom w:w="0" w:type="dxa"/>
            </w:tcMar>
            <w:vAlign w:val="center"/>
          </w:tcPr>
          <w:p w14:paraId="09D24885" w14:textId="77777777" w:rsidR="00110F51" w:rsidRDefault="00000000">
            <w:pPr>
              <w:keepNext/>
              <w:keepLines/>
              <w:spacing w:after="0" w:line="240" w:lineRule="auto"/>
            </w:pPr>
            <w:r>
              <w:rPr>
                <w:sz w:val="18"/>
              </w:rPr>
              <w:t>8</w:t>
            </w:r>
          </w:p>
        </w:tc>
        <w:tc>
          <w:tcPr>
            <w:tcW w:w="3180" w:type="dxa"/>
            <w:tcMar>
              <w:top w:w="0" w:type="dxa"/>
              <w:bottom w:w="0" w:type="dxa"/>
            </w:tcMar>
            <w:vAlign w:val="center"/>
          </w:tcPr>
          <w:p w14:paraId="6334C3B9" w14:textId="77777777" w:rsidR="00110F51"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A456CE4" w14:textId="77777777" w:rsidR="00110F51" w:rsidRDefault="00000000">
            <w:pPr>
              <w:keepNext/>
              <w:keepLines/>
              <w:spacing w:after="0" w:line="240" w:lineRule="auto"/>
            </w:pPr>
            <w:r>
              <w:rPr>
                <w:sz w:val="18"/>
              </w:rPr>
              <w:t>8</w:t>
            </w:r>
          </w:p>
        </w:tc>
        <w:tc>
          <w:tcPr>
            <w:tcW w:w="1860" w:type="dxa"/>
            <w:tcMar>
              <w:top w:w="0" w:type="dxa"/>
              <w:bottom w:w="0" w:type="dxa"/>
            </w:tcMar>
            <w:vAlign w:val="center"/>
          </w:tcPr>
          <w:p w14:paraId="546F5B1E" w14:textId="77777777" w:rsidR="00110F51" w:rsidRDefault="00000000">
            <w:pPr>
              <w:keepNext/>
              <w:keepLines/>
              <w:spacing w:after="0" w:line="240" w:lineRule="auto"/>
              <w:jc w:val="right"/>
            </w:pPr>
            <w:r>
              <w:rPr>
                <w:sz w:val="18"/>
              </w:rPr>
              <w:t>0,00</w:t>
            </w:r>
          </w:p>
        </w:tc>
        <w:tc>
          <w:tcPr>
            <w:tcW w:w="1860" w:type="dxa"/>
            <w:tcMar>
              <w:top w:w="0" w:type="dxa"/>
              <w:bottom w:w="0" w:type="dxa"/>
            </w:tcMar>
            <w:vAlign w:val="center"/>
          </w:tcPr>
          <w:p w14:paraId="4F076424" w14:textId="77777777" w:rsidR="00110F51" w:rsidRDefault="00000000">
            <w:pPr>
              <w:keepNext/>
              <w:keepLines/>
              <w:spacing w:after="0" w:line="240" w:lineRule="auto"/>
              <w:jc w:val="right"/>
            </w:pPr>
            <w:r>
              <w:rPr>
                <w:sz w:val="18"/>
              </w:rPr>
              <w:t>0,00</w:t>
            </w:r>
          </w:p>
        </w:tc>
        <w:tc>
          <w:tcPr>
            <w:tcW w:w="700" w:type="dxa"/>
            <w:tcMar>
              <w:top w:w="0" w:type="dxa"/>
              <w:bottom w:w="0" w:type="dxa"/>
            </w:tcMar>
            <w:vAlign w:val="center"/>
          </w:tcPr>
          <w:p w14:paraId="6999958A" w14:textId="77777777" w:rsidR="00110F51" w:rsidRDefault="00000000">
            <w:pPr>
              <w:keepNext/>
              <w:keepLines/>
              <w:spacing w:after="0" w:line="240" w:lineRule="auto"/>
              <w:jc w:val="right"/>
            </w:pPr>
            <w:r>
              <w:rPr>
                <w:sz w:val="18"/>
              </w:rPr>
              <w:t>-</w:t>
            </w:r>
          </w:p>
        </w:tc>
      </w:tr>
      <w:tr w:rsidR="00110F51" w14:paraId="4F957D8C" w14:textId="77777777">
        <w:tblPrEx>
          <w:tblCellMar>
            <w:top w:w="0" w:type="dxa"/>
            <w:bottom w:w="0" w:type="dxa"/>
          </w:tblCellMar>
        </w:tblPrEx>
        <w:trPr>
          <w:cantSplit/>
          <w:trHeight w:val="560"/>
        </w:trPr>
        <w:tc>
          <w:tcPr>
            <w:tcW w:w="700" w:type="dxa"/>
            <w:tcMar>
              <w:top w:w="0" w:type="dxa"/>
              <w:bottom w:w="0" w:type="dxa"/>
            </w:tcMar>
            <w:vAlign w:val="center"/>
          </w:tcPr>
          <w:p w14:paraId="68D5E08E" w14:textId="77777777" w:rsidR="00110F51" w:rsidRDefault="00000000">
            <w:pPr>
              <w:keepNext/>
              <w:keepLines/>
              <w:spacing w:after="0" w:line="240" w:lineRule="auto"/>
            </w:pPr>
            <w:r>
              <w:rPr>
                <w:sz w:val="18"/>
              </w:rPr>
              <w:t>5</w:t>
            </w:r>
          </w:p>
        </w:tc>
        <w:tc>
          <w:tcPr>
            <w:tcW w:w="3180" w:type="dxa"/>
            <w:tcMar>
              <w:top w:w="0" w:type="dxa"/>
              <w:bottom w:w="0" w:type="dxa"/>
            </w:tcMar>
            <w:vAlign w:val="center"/>
          </w:tcPr>
          <w:p w14:paraId="7014A949" w14:textId="77777777" w:rsidR="00110F51"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3AF3F77" w14:textId="77777777" w:rsidR="00110F51" w:rsidRDefault="00000000">
            <w:pPr>
              <w:keepNext/>
              <w:keepLines/>
              <w:spacing w:after="0" w:line="240" w:lineRule="auto"/>
            </w:pPr>
            <w:r>
              <w:rPr>
                <w:sz w:val="18"/>
              </w:rPr>
              <w:t>5</w:t>
            </w:r>
          </w:p>
        </w:tc>
        <w:tc>
          <w:tcPr>
            <w:tcW w:w="1860" w:type="dxa"/>
            <w:tcMar>
              <w:top w:w="0" w:type="dxa"/>
              <w:bottom w:w="0" w:type="dxa"/>
            </w:tcMar>
            <w:vAlign w:val="center"/>
          </w:tcPr>
          <w:p w14:paraId="5522B270" w14:textId="77777777" w:rsidR="00110F51" w:rsidRDefault="00000000">
            <w:pPr>
              <w:keepNext/>
              <w:keepLines/>
              <w:spacing w:after="0" w:line="240" w:lineRule="auto"/>
              <w:jc w:val="right"/>
            </w:pPr>
            <w:r>
              <w:rPr>
                <w:sz w:val="18"/>
              </w:rPr>
              <w:t>0,00</w:t>
            </w:r>
          </w:p>
        </w:tc>
        <w:tc>
          <w:tcPr>
            <w:tcW w:w="1860" w:type="dxa"/>
            <w:tcMar>
              <w:top w:w="0" w:type="dxa"/>
              <w:bottom w:w="0" w:type="dxa"/>
            </w:tcMar>
            <w:vAlign w:val="center"/>
          </w:tcPr>
          <w:p w14:paraId="2F245658" w14:textId="77777777" w:rsidR="00110F51" w:rsidRDefault="00000000">
            <w:pPr>
              <w:keepNext/>
              <w:keepLines/>
              <w:spacing w:after="0" w:line="240" w:lineRule="auto"/>
              <w:jc w:val="right"/>
            </w:pPr>
            <w:r>
              <w:rPr>
                <w:sz w:val="18"/>
              </w:rPr>
              <w:t>0,00</w:t>
            </w:r>
          </w:p>
        </w:tc>
        <w:tc>
          <w:tcPr>
            <w:tcW w:w="700" w:type="dxa"/>
            <w:tcMar>
              <w:top w:w="0" w:type="dxa"/>
              <w:bottom w:w="0" w:type="dxa"/>
            </w:tcMar>
            <w:vAlign w:val="center"/>
          </w:tcPr>
          <w:p w14:paraId="201137C7" w14:textId="77777777" w:rsidR="00110F51" w:rsidRDefault="00000000">
            <w:pPr>
              <w:keepNext/>
              <w:keepLines/>
              <w:spacing w:after="0" w:line="240" w:lineRule="auto"/>
              <w:jc w:val="right"/>
            </w:pPr>
            <w:r>
              <w:rPr>
                <w:sz w:val="18"/>
              </w:rPr>
              <w:t>-</w:t>
            </w:r>
          </w:p>
        </w:tc>
      </w:tr>
      <w:tr w:rsidR="00110F51" w14:paraId="5987B8FB" w14:textId="77777777">
        <w:tblPrEx>
          <w:tblCellMar>
            <w:top w:w="0" w:type="dxa"/>
            <w:bottom w:w="0" w:type="dxa"/>
          </w:tblCellMar>
        </w:tblPrEx>
        <w:trPr>
          <w:cantSplit/>
          <w:trHeight w:val="560"/>
        </w:trPr>
        <w:tc>
          <w:tcPr>
            <w:tcW w:w="700" w:type="dxa"/>
            <w:tcMar>
              <w:top w:w="0" w:type="dxa"/>
              <w:bottom w:w="0" w:type="dxa"/>
            </w:tcMar>
            <w:vAlign w:val="center"/>
          </w:tcPr>
          <w:p w14:paraId="34FE3CCD" w14:textId="77777777" w:rsidR="00110F51" w:rsidRDefault="00110F51">
            <w:pPr>
              <w:keepNext/>
              <w:keepLines/>
              <w:spacing w:after="0" w:line="240" w:lineRule="auto"/>
            </w:pPr>
          </w:p>
        </w:tc>
        <w:tc>
          <w:tcPr>
            <w:tcW w:w="3180" w:type="dxa"/>
            <w:tcMar>
              <w:top w:w="0" w:type="dxa"/>
              <w:bottom w:w="0" w:type="dxa"/>
            </w:tcMar>
            <w:vAlign w:val="center"/>
          </w:tcPr>
          <w:p w14:paraId="186F4F41" w14:textId="77777777" w:rsidR="00110F51"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1402EBC" w14:textId="77777777" w:rsidR="00110F51" w:rsidRDefault="00000000">
            <w:pPr>
              <w:keepNext/>
              <w:keepLines/>
              <w:spacing w:after="0" w:line="240" w:lineRule="auto"/>
            </w:pPr>
            <w:r>
              <w:rPr>
                <w:b/>
                <w:sz w:val="18"/>
              </w:rPr>
              <w:t>X003, Y003</w:t>
            </w:r>
          </w:p>
        </w:tc>
        <w:tc>
          <w:tcPr>
            <w:tcW w:w="1860" w:type="dxa"/>
            <w:tcMar>
              <w:top w:w="0" w:type="dxa"/>
              <w:bottom w:w="0" w:type="dxa"/>
            </w:tcMar>
            <w:vAlign w:val="center"/>
          </w:tcPr>
          <w:p w14:paraId="164D85AA" w14:textId="77777777" w:rsidR="00110F51" w:rsidRDefault="00000000">
            <w:pPr>
              <w:keepNext/>
              <w:keepLines/>
              <w:spacing w:after="0" w:line="240" w:lineRule="auto"/>
              <w:jc w:val="right"/>
            </w:pPr>
            <w:r>
              <w:rPr>
                <w:b/>
                <w:sz w:val="18"/>
              </w:rPr>
              <w:t>0,00</w:t>
            </w:r>
          </w:p>
        </w:tc>
        <w:tc>
          <w:tcPr>
            <w:tcW w:w="1860" w:type="dxa"/>
            <w:tcMar>
              <w:top w:w="0" w:type="dxa"/>
              <w:bottom w:w="0" w:type="dxa"/>
            </w:tcMar>
            <w:vAlign w:val="center"/>
          </w:tcPr>
          <w:p w14:paraId="370D9A69" w14:textId="77777777" w:rsidR="00110F51" w:rsidRDefault="00000000">
            <w:pPr>
              <w:keepNext/>
              <w:keepLines/>
              <w:spacing w:after="0" w:line="240" w:lineRule="auto"/>
              <w:jc w:val="right"/>
            </w:pPr>
            <w:r>
              <w:rPr>
                <w:b/>
                <w:sz w:val="18"/>
              </w:rPr>
              <w:t>0,00</w:t>
            </w:r>
          </w:p>
        </w:tc>
        <w:tc>
          <w:tcPr>
            <w:tcW w:w="700" w:type="dxa"/>
            <w:tcMar>
              <w:top w:w="0" w:type="dxa"/>
              <w:bottom w:w="0" w:type="dxa"/>
            </w:tcMar>
            <w:vAlign w:val="center"/>
          </w:tcPr>
          <w:p w14:paraId="1FE97059" w14:textId="77777777" w:rsidR="00110F51" w:rsidRDefault="00000000">
            <w:pPr>
              <w:keepNext/>
              <w:keepLines/>
              <w:spacing w:after="0" w:line="240" w:lineRule="auto"/>
              <w:jc w:val="right"/>
            </w:pPr>
            <w:r>
              <w:rPr>
                <w:b/>
                <w:sz w:val="18"/>
              </w:rPr>
              <w:t>-</w:t>
            </w:r>
          </w:p>
        </w:tc>
      </w:tr>
      <w:tr w:rsidR="00110F51" w14:paraId="693CDE3B" w14:textId="77777777">
        <w:tblPrEx>
          <w:tblCellMar>
            <w:top w:w="0" w:type="dxa"/>
            <w:bottom w:w="0" w:type="dxa"/>
          </w:tblCellMar>
        </w:tblPrEx>
        <w:trPr>
          <w:cantSplit/>
          <w:trHeight w:val="560"/>
        </w:trPr>
        <w:tc>
          <w:tcPr>
            <w:tcW w:w="700" w:type="dxa"/>
            <w:tcMar>
              <w:top w:w="0" w:type="dxa"/>
              <w:bottom w:w="0" w:type="dxa"/>
            </w:tcMar>
            <w:vAlign w:val="center"/>
          </w:tcPr>
          <w:p w14:paraId="46D06D4B" w14:textId="77777777" w:rsidR="00110F51" w:rsidRDefault="00110F51">
            <w:pPr>
              <w:keepNext/>
              <w:keepLines/>
              <w:spacing w:after="0" w:line="240" w:lineRule="auto"/>
            </w:pPr>
          </w:p>
        </w:tc>
        <w:tc>
          <w:tcPr>
            <w:tcW w:w="3180" w:type="dxa"/>
            <w:tcMar>
              <w:top w:w="0" w:type="dxa"/>
              <w:bottom w:w="0" w:type="dxa"/>
            </w:tcMar>
            <w:vAlign w:val="center"/>
          </w:tcPr>
          <w:p w14:paraId="44FDB69B" w14:textId="77777777" w:rsidR="00110F51"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4532269" w14:textId="77777777" w:rsidR="00110F51" w:rsidRDefault="00000000">
            <w:pPr>
              <w:keepNext/>
              <w:keepLines/>
              <w:spacing w:after="0" w:line="240" w:lineRule="auto"/>
            </w:pPr>
            <w:r>
              <w:rPr>
                <w:b/>
                <w:sz w:val="18"/>
              </w:rPr>
              <w:t>Y005</w:t>
            </w:r>
          </w:p>
        </w:tc>
        <w:tc>
          <w:tcPr>
            <w:tcW w:w="1860" w:type="dxa"/>
            <w:tcMar>
              <w:top w:w="0" w:type="dxa"/>
              <w:bottom w:w="0" w:type="dxa"/>
            </w:tcMar>
            <w:vAlign w:val="center"/>
          </w:tcPr>
          <w:p w14:paraId="145C08A3" w14:textId="77777777" w:rsidR="00110F51" w:rsidRDefault="00000000">
            <w:pPr>
              <w:keepNext/>
              <w:keepLines/>
              <w:spacing w:after="0" w:line="240" w:lineRule="auto"/>
              <w:jc w:val="right"/>
            </w:pPr>
            <w:r>
              <w:rPr>
                <w:b/>
                <w:sz w:val="18"/>
              </w:rPr>
              <w:t>0,00</w:t>
            </w:r>
          </w:p>
        </w:tc>
        <w:tc>
          <w:tcPr>
            <w:tcW w:w="1860" w:type="dxa"/>
            <w:tcMar>
              <w:top w:w="0" w:type="dxa"/>
              <w:bottom w:w="0" w:type="dxa"/>
            </w:tcMar>
            <w:vAlign w:val="center"/>
          </w:tcPr>
          <w:p w14:paraId="29C41DAC" w14:textId="77777777" w:rsidR="00110F51" w:rsidRDefault="00000000">
            <w:pPr>
              <w:keepNext/>
              <w:keepLines/>
              <w:spacing w:after="0" w:line="240" w:lineRule="auto"/>
              <w:jc w:val="right"/>
            </w:pPr>
            <w:r>
              <w:rPr>
                <w:b/>
                <w:sz w:val="18"/>
              </w:rPr>
              <w:t>10.088,58</w:t>
            </w:r>
          </w:p>
        </w:tc>
        <w:tc>
          <w:tcPr>
            <w:tcW w:w="700" w:type="dxa"/>
            <w:tcMar>
              <w:top w:w="0" w:type="dxa"/>
              <w:bottom w:w="0" w:type="dxa"/>
            </w:tcMar>
            <w:vAlign w:val="center"/>
          </w:tcPr>
          <w:p w14:paraId="63B31BC2" w14:textId="77777777" w:rsidR="00110F51" w:rsidRDefault="00000000">
            <w:pPr>
              <w:keepNext/>
              <w:keepLines/>
              <w:spacing w:after="0" w:line="240" w:lineRule="auto"/>
              <w:jc w:val="right"/>
            </w:pPr>
            <w:r>
              <w:rPr>
                <w:b/>
                <w:sz w:val="18"/>
              </w:rPr>
              <w:t>-</w:t>
            </w:r>
          </w:p>
        </w:tc>
      </w:tr>
    </w:tbl>
    <w:p w14:paraId="5F2667D5" w14:textId="77777777" w:rsidR="00110F51" w:rsidRDefault="00110F51">
      <w:pPr>
        <w:spacing w:after="0"/>
      </w:pPr>
    </w:p>
    <w:p w14:paraId="5F6A2D85" w14:textId="77777777" w:rsidR="00110F51" w:rsidRDefault="00000000">
      <w:r>
        <w:t xml:space="preserve">Ukupni prihodi poslovanja (šifra 6) u 2025. godini ostvareni su u iznosu 928.354,55 eura, u odnosu na 2024. godinu veći su za 0,8%, a na povećanje najviše utječu prihodi ostvareni od pružanja usluga privremenog korištenja dvorane (šifra 661) koji su u 2025. godini veći za 61,0% u odnosu na isto razdoblje 2024. zbog povećanja cijena najma prostora te veće potražnje korisnika za istim. Na povećanje utječu i prihodi iz nadležnog proračuna  (šifra 67) koji su veći za 5,9% u odnosu na 2024. godinu zbog povećanog obujma poslovanja u 2025. i </w:t>
      </w:r>
      <w:r>
        <w:lastRenderedPageBreak/>
        <w:t> rasta osnovice za plaće zaposlenika. Istovremeno su za 90,9% manji prihodi po osnovi pomoći od međunarodnih organizacija te institucija i tijela EU (šifra 632) u odnosu na 2024. jer je u 2024. godini ostvaren prihod po osnovi partnerstva u europskom projektu. Ukupni rashodi poslovanja (šifra 3) iznose 905.696,84 eura i veći su u odnosu na prethodno razdoblje 2024. za 21,6% zbog povećanja osnovice plaća, rasta cijena roba i usluga na tržištu te većeg obima poslovanja u HKD-u na Sušaku u 2025. godini. Na ukupne rashode poslovanja dodaju se i ukupni rashodi za nabavku nefinancijske imovine (šifra Y002) od 32.746,29 eura zbog nabavki vatrogasnih aparata, zvučnika, ventilatora, mobitela, regala, rasvjetnog pulta, reflektora za scenu te hladnjaka.</w:t>
      </w:r>
    </w:p>
    <w:p w14:paraId="07612AAD" w14:textId="77777777" w:rsidR="00110F51" w:rsidRDefault="00000000">
      <w:r>
        <w:t>Ukupni prihodi iznose 928.354,55 eura (šifra X067), a ukupni rashodi 938.443,13 eura (šifra Y034) pa se bilježi u tekućem razdoblju metodološki manjak od 10.088.58 eura zbog nastanka rashoda iz proračunskog izvora financiranja u izvještajnom razdoblju, a prihoda iz proračunskog izvora financiranja u sljedećem izvještajnom razdoblju.</w:t>
      </w:r>
    </w:p>
    <w:p w14:paraId="35AEDCC8" w14:textId="77777777" w:rsidR="00110F51" w:rsidRDefault="00000000">
      <w:r>
        <w:t>Preneseni višak prihoda (šifra 9221x,9222x VP) iznosi 16.259,96 eura pa višak prihoda i primitaka raspoloživ u sljedećem razdoblju (šifra X006) iznosi 6.171,38 eura, što je ujedno i rezultat poslovanja u 2025. godini.</w:t>
      </w:r>
    </w:p>
    <w:p w14:paraId="1058A566" w14:textId="77777777" w:rsidR="00110F51" w:rsidRDefault="00000000">
      <w:r>
        <w:br/>
      </w:r>
    </w:p>
    <w:p w14:paraId="33CDEB22" w14:textId="77777777" w:rsidR="00110F51"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56CCDB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C25037"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8C3828"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5318D7"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ECE6CB"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5EC8CB"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4A05C9" w14:textId="77777777" w:rsidR="00110F51" w:rsidRDefault="00000000">
            <w:pPr>
              <w:keepNext/>
              <w:keepLines/>
              <w:spacing w:after="0" w:line="240" w:lineRule="auto"/>
              <w:jc w:val="center"/>
            </w:pPr>
            <w:r>
              <w:rPr>
                <w:b/>
                <w:sz w:val="18"/>
              </w:rPr>
              <w:t>Indeks (%)</w:t>
            </w:r>
          </w:p>
        </w:tc>
      </w:tr>
      <w:tr w:rsidR="00110F51" w14:paraId="6C70709C" w14:textId="77777777">
        <w:tblPrEx>
          <w:tblCellMar>
            <w:top w:w="0" w:type="dxa"/>
            <w:bottom w:w="0" w:type="dxa"/>
          </w:tblCellMar>
        </w:tblPrEx>
        <w:trPr>
          <w:cantSplit/>
          <w:trHeight w:val="560"/>
        </w:trPr>
        <w:tc>
          <w:tcPr>
            <w:tcW w:w="700" w:type="dxa"/>
            <w:tcMar>
              <w:top w:w="0" w:type="dxa"/>
              <w:bottom w:w="0" w:type="dxa"/>
            </w:tcMar>
            <w:vAlign w:val="center"/>
          </w:tcPr>
          <w:p w14:paraId="0C097069" w14:textId="77777777" w:rsidR="00110F51" w:rsidRDefault="00000000">
            <w:pPr>
              <w:keepNext/>
              <w:keepLines/>
              <w:spacing w:after="0" w:line="240" w:lineRule="auto"/>
            </w:pPr>
            <w:r>
              <w:rPr>
                <w:sz w:val="18"/>
              </w:rPr>
              <w:t>6323</w:t>
            </w:r>
          </w:p>
        </w:tc>
        <w:tc>
          <w:tcPr>
            <w:tcW w:w="3180" w:type="dxa"/>
            <w:tcMar>
              <w:top w:w="0" w:type="dxa"/>
              <w:bottom w:w="0" w:type="dxa"/>
            </w:tcMar>
            <w:vAlign w:val="center"/>
          </w:tcPr>
          <w:p w14:paraId="612A20E4" w14:textId="77777777" w:rsidR="00110F51" w:rsidRDefault="00000000">
            <w:pPr>
              <w:keepNext/>
              <w:keepLines/>
              <w:spacing w:after="0" w:line="240" w:lineRule="auto"/>
            </w:pPr>
            <w:r>
              <w:rPr>
                <w:sz w:val="18"/>
              </w:rPr>
              <w:t>Tekuće pomoći od institucija i tijela EU</w:t>
            </w:r>
          </w:p>
        </w:tc>
        <w:tc>
          <w:tcPr>
            <w:tcW w:w="700" w:type="dxa"/>
            <w:tcMar>
              <w:top w:w="0" w:type="dxa"/>
              <w:bottom w:w="0" w:type="dxa"/>
            </w:tcMar>
            <w:vAlign w:val="center"/>
          </w:tcPr>
          <w:p w14:paraId="283CC63D" w14:textId="77777777" w:rsidR="00110F51" w:rsidRDefault="00000000">
            <w:pPr>
              <w:keepNext/>
              <w:keepLines/>
              <w:spacing w:after="0" w:line="240" w:lineRule="auto"/>
            </w:pPr>
            <w:r>
              <w:rPr>
                <w:sz w:val="18"/>
              </w:rPr>
              <w:t>6323</w:t>
            </w:r>
          </w:p>
        </w:tc>
        <w:tc>
          <w:tcPr>
            <w:tcW w:w="1860" w:type="dxa"/>
            <w:tcMar>
              <w:top w:w="0" w:type="dxa"/>
              <w:bottom w:w="0" w:type="dxa"/>
            </w:tcMar>
            <w:vAlign w:val="center"/>
          </w:tcPr>
          <w:p w14:paraId="3E8DCBDB" w14:textId="77777777" w:rsidR="00110F51" w:rsidRDefault="00000000">
            <w:pPr>
              <w:keepNext/>
              <w:keepLines/>
              <w:spacing w:after="0" w:line="240" w:lineRule="auto"/>
              <w:jc w:val="right"/>
            </w:pPr>
            <w:r>
              <w:rPr>
                <w:sz w:val="18"/>
              </w:rPr>
              <w:t>73.154,80</w:t>
            </w:r>
          </w:p>
        </w:tc>
        <w:tc>
          <w:tcPr>
            <w:tcW w:w="1860" w:type="dxa"/>
            <w:tcMar>
              <w:top w:w="0" w:type="dxa"/>
              <w:bottom w:w="0" w:type="dxa"/>
            </w:tcMar>
            <w:vAlign w:val="center"/>
          </w:tcPr>
          <w:p w14:paraId="60D26527" w14:textId="77777777" w:rsidR="00110F51" w:rsidRDefault="00000000">
            <w:pPr>
              <w:keepNext/>
              <w:keepLines/>
              <w:spacing w:after="0" w:line="240" w:lineRule="auto"/>
              <w:jc w:val="right"/>
            </w:pPr>
            <w:r>
              <w:rPr>
                <w:sz w:val="18"/>
              </w:rPr>
              <w:t>6.623,80</w:t>
            </w:r>
          </w:p>
        </w:tc>
        <w:tc>
          <w:tcPr>
            <w:tcW w:w="700" w:type="dxa"/>
            <w:tcMar>
              <w:top w:w="0" w:type="dxa"/>
              <w:bottom w:w="0" w:type="dxa"/>
            </w:tcMar>
            <w:vAlign w:val="center"/>
          </w:tcPr>
          <w:p w14:paraId="027F65C9" w14:textId="77777777" w:rsidR="00110F51" w:rsidRDefault="00000000">
            <w:pPr>
              <w:keepNext/>
              <w:keepLines/>
              <w:spacing w:after="0" w:line="240" w:lineRule="auto"/>
              <w:jc w:val="right"/>
            </w:pPr>
            <w:r>
              <w:rPr>
                <w:sz w:val="18"/>
              </w:rPr>
              <w:t>9,1</w:t>
            </w:r>
          </w:p>
        </w:tc>
      </w:tr>
    </w:tbl>
    <w:p w14:paraId="309D1167" w14:textId="77777777" w:rsidR="00110F51" w:rsidRDefault="00110F51">
      <w:pPr>
        <w:spacing w:after="0"/>
      </w:pPr>
    </w:p>
    <w:p w14:paraId="14B16939" w14:textId="77777777" w:rsidR="00110F51" w:rsidRDefault="00000000">
      <w:r>
        <w:t>U 2025. godini je prihod po osnovi partnerstva u EU projektu manji za 90,9% jer su ostvarena sredstva u 2025. godini u iznosu od 6.623,80 eura za Aerowaves projekt i Projekt Body landscapes - Perform Europe , dok su u 2024. godini iznosila 72.536,80 eura za projekt Moving Balkans – regionalna plesna platforma te 618,00 eura za Erasmus projekt za volonterski program.</w:t>
      </w:r>
    </w:p>
    <w:p w14:paraId="751E6A26" w14:textId="77777777" w:rsidR="00110F51" w:rsidRDefault="00110F51"/>
    <w:p w14:paraId="2ADB27B8" w14:textId="77777777" w:rsidR="00110F51"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3B0208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8F97AF"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BAE640"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1FD847"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B8EA05"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F68D93"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A1E605" w14:textId="77777777" w:rsidR="00110F51" w:rsidRDefault="00000000">
            <w:pPr>
              <w:keepNext/>
              <w:keepLines/>
              <w:spacing w:after="0" w:line="240" w:lineRule="auto"/>
              <w:jc w:val="center"/>
            </w:pPr>
            <w:r>
              <w:rPr>
                <w:b/>
                <w:sz w:val="18"/>
              </w:rPr>
              <w:t>Indeks (%)</w:t>
            </w:r>
          </w:p>
        </w:tc>
      </w:tr>
      <w:tr w:rsidR="00110F51" w14:paraId="4CDFE904" w14:textId="77777777">
        <w:tblPrEx>
          <w:tblCellMar>
            <w:top w:w="0" w:type="dxa"/>
            <w:bottom w:w="0" w:type="dxa"/>
          </w:tblCellMar>
        </w:tblPrEx>
        <w:trPr>
          <w:cantSplit/>
          <w:trHeight w:val="560"/>
        </w:trPr>
        <w:tc>
          <w:tcPr>
            <w:tcW w:w="700" w:type="dxa"/>
            <w:tcMar>
              <w:top w:w="0" w:type="dxa"/>
              <w:bottom w:w="0" w:type="dxa"/>
            </w:tcMar>
            <w:vAlign w:val="center"/>
          </w:tcPr>
          <w:p w14:paraId="58069FC3" w14:textId="77777777" w:rsidR="00110F51" w:rsidRDefault="00000000">
            <w:pPr>
              <w:keepNext/>
              <w:keepLines/>
              <w:spacing w:after="0" w:line="240" w:lineRule="auto"/>
            </w:pPr>
            <w:r>
              <w:rPr>
                <w:sz w:val="18"/>
              </w:rPr>
              <w:t>6361</w:t>
            </w:r>
          </w:p>
        </w:tc>
        <w:tc>
          <w:tcPr>
            <w:tcW w:w="3180" w:type="dxa"/>
            <w:tcMar>
              <w:top w:w="0" w:type="dxa"/>
              <w:bottom w:w="0" w:type="dxa"/>
            </w:tcMar>
            <w:vAlign w:val="center"/>
          </w:tcPr>
          <w:p w14:paraId="112BDCF3" w14:textId="77777777" w:rsidR="00110F51"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5AC81956" w14:textId="77777777" w:rsidR="00110F51" w:rsidRDefault="00000000">
            <w:pPr>
              <w:keepNext/>
              <w:keepLines/>
              <w:spacing w:after="0" w:line="240" w:lineRule="auto"/>
            </w:pPr>
            <w:r>
              <w:rPr>
                <w:sz w:val="18"/>
              </w:rPr>
              <w:t>6361</w:t>
            </w:r>
          </w:p>
        </w:tc>
        <w:tc>
          <w:tcPr>
            <w:tcW w:w="1860" w:type="dxa"/>
            <w:tcMar>
              <w:top w:w="0" w:type="dxa"/>
              <w:bottom w:w="0" w:type="dxa"/>
            </w:tcMar>
            <w:vAlign w:val="center"/>
          </w:tcPr>
          <w:p w14:paraId="4980E7E3" w14:textId="77777777" w:rsidR="00110F51" w:rsidRDefault="00000000">
            <w:pPr>
              <w:keepNext/>
              <w:keepLines/>
              <w:spacing w:after="0" w:line="240" w:lineRule="auto"/>
              <w:jc w:val="right"/>
            </w:pPr>
            <w:r>
              <w:rPr>
                <w:sz w:val="18"/>
              </w:rPr>
              <w:t>45.887,60</w:t>
            </w:r>
          </w:p>
        </w:tc>
        <w:tc>
          <w:tcPr>
            <w:tcW w:w="1860" w:type="dxa"/>
            <w:tcMar>
              <w:top w:w="0" w:type="dxa"/>
              <w:bottom w:w="0" w:type="dxa"/>
            </w:tcMar>
            <w:vAlign w:val="center"/>
          </w:tcPr>
          <w:p w14:paraId="714CBBAA" w14:textId="77777777" w:rsidR="00110F51" w:rsidRDefault="00000000">
            <w:pPr>
              <w:keepNext/>
              <w:keepLines/>
              <w:spacing w:after="0" w:line="240" w:lineRule="auto"/>
              <w:jc w:val="right"/>
            </w:pPr>
            <w:r>
              <w:rPr>
                <w:sz w:val="18"/>
              </w:rPr>
              <w:t>46.400,53</w:t>
            </w:r>
          </w:p>
        </w:tc>
        <w:tc>
          <w:tcPr>
            <w:tcW w:w="700" w:type="dxa"/>
            <w:tcMar>
              <w:top w:w="0" w:type="dxa"/>
              <w:bottom w:w="0" w:type="dxa"/>
            </w:tcMar>
            <w:vAlign w:val="center"/>
          </w:tcPr>
          <w:p w14:paraId="27C85E8C" w14:textId="77777777" w:rsidR="00110F51" w:rsidRDefault="00000000">
            <w:pPr>
              <w:keepNext/>
              <w:keepLines/>
              <w:spacing w:after="0" w:line="240" w:lineRule="auto"/>
              <w:jc w:val="right"/>
            </w:pPr>
            <w:r>
              <w:rPr>
                <w:sz w:val="18"/>
              </w:rPr>
              <w:t>101,1</w:t>
            </w:r>
          </w:p>
        </w:tc>
      </w:tr>
    </w:tbl>
    <w:p w14:paraId="44FB1538" w14:textId="77777777" w:rsidR="00110F51" w:rsidRDefault="00110F51">
      <w:pPr>
        <w:spacing w:after="0"/>
      </w:pPr>
    </w:p>
    <w:p w14:paraId="6F69EC38" w14:textId="77777777" w:rsidR="00110F51" w:rsidRDefault="00000000">
      <w:r>
        <w:t xml:space="preserve">U 2025. godini prihod je veći za 1,1% prvenstveno jer su u istom razdoblju ove godine od Ministarstva kulture primljena sredstva za tehničko opremanje scene u iznosu 8.000,00 eura, a u istom razdoblju prošle godine primljena su sredstva za izradu plana razvoja publike koja su </w:t>
      </w:r>
      <w:r>
        <w:lastRenderedPageBreak/>
        <w:t>ove godine izostala. Godišnja dinamika isplate sredstava od Ministarstva kulture je različita u odnosu na 2024. godinu.</w:t>
      </w:r>
    </w:p>
    <w:p w14:paraId="4D98093E" w14:textId="77777777" w:rsidR="00110F51" w:rsidRDefault="00110F51"/>
    <w:p w14:paraId="5CA774C0" w14:textId="77777777" w:rsidR="00110F51"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41FE31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36D2CD"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41CF47"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B9913D"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059EB7"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A685E1"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6AF9CF" w14:textId="77777777" w:rsidR="00110F51" w:rsidRDefault="00000000">
            <w:pPr>
              <w:keepNext/>
              <w:keepLines/>
              <w:spacing w:after="0" w:line="240" w:lineRule="auto"/>
              <w:jc w:val="center"/>
            </w:pPr>
            <w:r>
              <w:rPr>
                <w:b/>
                <w:sz w:val="18"/>
              </w:rPr>
              <w:t>Indeks (%)</w:t>
            </w:r>
          </w:p>
        </w:tc>
      </w:tr>
      <w:tr w:rsidR="00110F51" w14:paraId="1D6268FB" w14:textId="77777777">
        <w:tblPrEx>
          <w:tblCellMar>
            <w:top w:w="0" w:type="dxa"/>
            <w:bottom w:w="0" w:type="dxa"/>
          </w:tblCellMar>
        </w:tblPrEx>
        <w:trPr>
          <w:cantSplit/>
          <w:trHeight w:val="560"/>
        </w:trPr>
        <w:tc>
          <w:tcPr>
            <w:tcW w:w="700" w:type="dxa"/>
            <w:tcMar>
              <w:top w:w="0" w:type="dxa"/>
              <w:bottom w:w="0" w:type="dxa"/>
            </w:tcMar>
            <w:vAlign w:val="center"/>
          </w:tcPr>
          <w:p w14:paraId="4FB7F12F" w14:textId="77777777" w:rsidR="00110F51" w:rsidRDefault="00000000">
            <w:pPr>
              <w:keepNext/>
              <w:keepLines/>
              <w:spacing w:after="0" w:line="240" w:lineRule="auto"/>
            </w:pPr>
            <w:r>
              <w:rPr>
                <w:sz w:val="18"/>
              </w:rPr>
              <w:t>6526</w:t>
            </w:r>
          </w:p>
        </w:tc>
        <w:tc>
          <w:tcPr>
            <w:tcW w:w="3180" w:type="dxa"/>
            <w:tcMar>
              <w:top w:w="0" w:type="dxa"/>
              <w:bottom w:w="0" w:type="dxa"/>
            </w:tcMar>
            <w:vAlign w:val="center"/>
          </w:tcPr>
          <w:p w14:paraId="5EAC6759" w14:textId="77777777" w:rsidR="00110F51" w:rsidRDefault="00000000">
            <w:pPr>
              <w:keepNext/>
              <w:keepLines/>
              <w:spacing w:after="0" w:line="240" w:lineRule="auto"/>
            </w:pPr>
            <w:r>
              <w:rPr>
                <w:sz w:val="18"/>
              </w:rPr>
              <w:t>Ostali nespomenuti prihodi</w:t>
            </w:r>
          </w:p>
        </w:tc>
        <w:tc>
          <w:tcPr>
            <w:tcW w:w="700" w:type="dxa"/>
            <w:tcMar>
              <w:top w:w="0" w:type="dxa"/>
              <w:bottom w:w="0" w:type="dxa"/>
            </w:tcMar>
            <w:vAlign w:val="center"/>
          </w:tcPr>
          <w:p w14:paraId="1705A1EB" w14:textId="77777777" w:rsidR="00110F51" w:rsidRDefault="00000000">
            <w:pPr>
              <w:keepNext/>
              <w:keepLines/>
              <w:spacing w:after="0" w:line="240" w:lineRule="auto"/>
            </w:pPr>
            <w:r>
              <w:rPr>
                <w:sz w:val="18"/>
              </w:rPr>
              <w:t>6526</w:t>
            </w:r>
          </w:p>
        </w:tc>
        <w:tc>
          <w:tcPr>
            <w:tcW w:w="1860" w:type="dxa"/>
            <w:tcMar>
              <w:top w:w="0" w:type="dxa"/>
              <w:bottom w:w="0" w:type="dxa"/>
            </w:tcMar>
            <w:vAlign w:val="center"/>
          </w:tcPr>
          <w:p w14:paraId="4E216D04" w14:textId="77777777" w:rsidR="00110F51" w:rsidRDefault="00000000">
            <w:pPr>
              <w:keepNext/>
              <w:keepLines/>
              <w:spacing w:after="0" w:line="240" w:lineRule="auto"/>
              <w:jc w:val="right"/>
            </w:pPr>
            <w:r>
              <w:rPr>
                <w:sz w:val="18"/>
              </w:rPr>
              <w:t>33.798,76</w:t>
            </w:r>
          </w:p>
        </w:tc>
        <w:tc>
          <w:tcPr>
            <w:tcW w:w="1860" w:type="dxa"/>
            <w:tcMar>
              <w:top w:w="0" w:type="dxa"/>
              <w:bottom w:w="0" w:type="dxa"/>
            </w:tcMar>
            <w:vAlign w:val="center"/>
          </w:tcPr>
          <w:p w14:paraId="73601894" w14:textId="77777777" w:rsidR="00110F51" w:rsidRDefault="00000000">
            <w:pPr>
              <w:keepNext/>
              <w:keepLines/>
              <w:spacing w:after="0" w:line="240" w:lineRule="auto"/>
              <w:jc w:val="right"/>
            </w:pPr>
            <w:r>
              <w:rPr>
                <w:sz w:val="18"/>
              </w:rPr>
              <w:t>31.644,52</w:t>
            </w:r>
          </w:p>
        </w:tc>
        <w:tc>
          <w:tcPr>
            <w:tcW w:w="700" w:type="dxa"/>
            <w:tcMar>
              <w:top w:w="0" w:type="dxa"/>
              <w:bottom w:w="0" w:type="dxa"/>
            </w:tcMar>
            <w:vAlign w:val="center"/>
          </w:tcPr>
          <w:p w14:paraId="489BD5B5" w14:textId="77777777" w:rsidR="00110F51" w:rsidRDefault="00000000">
            <w:pPr>
              <w:keepNext/>
              <w:keepLines/>
              <w:spacing w:after="0" w:line="240" w:lineRule="auto"/>
              <w:jc w:val="right"/>
            </w:pPr>
            <w:r>
              <w:rPr>
                <w:sz w:val="18"/>
              </w:rPr>
              <w:t>93,6</w:t>
            </w:r>
          </w:p>
        </w:tc>
      </w:tr>
    </w:tbl>
    <w:p w14:paraId="6362320F" w14:textId="77777777" w:rsidR="00110F51" w:rsidRDefault="00110F51">
      <w:pPr>
        <w:spacing w:after="0"/>
      </w:pPr>
    </w:p>
    <w:p w14:paraId="4927513A" w14:textId="77777777" w:rsidR="00110F51" w:rsidRDefault="00000000">
      <w:r>
        <w:t>Prihodi su manji za 6,4% u odnosu na 2024. jer se na godišnjoj razini u 2025. bilježi nešto manji prihod po osnovi prodaje karata na koncertima i predstavama u odnosu na 2024. godinu.</w:t>
      </w:r>
    </w:p>
    <w:p w14:paraId="0463E781" w14:textId="77777777" w:rsidR="00110F51" w:rsidRDefault="00110F51"/>
    <w:p w14:paraId="07B4F3A4" w14:textId="77777777" w:rsidR="00110F51"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199EB0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F3A1C3"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917EBE"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B8351D"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DA5734"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502C2D"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BB7C5D" w14:textId="77777777" w:rsidR="00110F51" w:rsidRDefault="00000000">
            <w:pPr>
              <w:keepNext/>
              <w:keepLines/>
              <w:spacing w:after="0" w:line="240" w:lineRule="auto"/>
              <w:jc w:val="center"/>
            </w:pPr>
            <w:r>
              <w:rPr>
                <w:b/>
                <w:sz w:val="18"/>
              </w:rPr>
              <w:t>Indeks (%)</w:t>
            </w:r>
          </w:p>
        </w:tc>
      </w:tr>
      <w:tr w:rsidR="00110F51" w14:paraId="7527CF4B" w14:textId="77777777">
        <w:tblPrEx>
          <w:tblCellMar>
            <w:top w:w="0" w:type="dxa"/>
            <w:bottom w:w="0" w:type="dxa"/>
          </w:tblCellMar>
        </w:tblPrEx>
        <w:trPr>
          <w:cantSplit/>
          <w:trHeight w:val="560"/>
        </w:trPr>
        <w:tc>
          <w:tcPr>
            <w:tcW w:w="700" w:type="dxa"/>
            <w:tcMar>
              <w:top w:w="0" w:type="dxa"/>
              <w:bottom w:w="0" w:type="dxa"/>
            </w:tcMar>
            <w:vAlign w:val="center"/>
          </w:tcPr>
          <w:p w14:paraId="77DBDBB7" w14:textId="77777777" w:rsidR="00110F51" w:rsidRDefault="00000000">
            <w:pPr>
              <w:keepNext/>
              <w:keepLines/>
              <w:spacing w:after="0" w:line="240" w:lineRule="auto"/>
            </w:pPr>
            <w:r>
              <w:rPr>
                <w:sz w:val="18"/>
              </w:rPr>
              <w:t>6615</w:t>
            </w:r>
          </w:p>
        </w:tc>
        <w:tc>
          <w:tcPr>
            <w:tcW w:w="3180" w:type="dxa"/>
            <w:tcMar>
              <w:top w:w="0" w:type="dxa"/>
              <w:bottom w:w="0" w:type="dxa"/>
            </w:tcMar>
            <w:vAlign w:val="center"/>
          </w:tcPr>
          <w:p w14:paraId="4888E73A" w14:textId="77777777" w:rsidR="00110F51"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471B7DB4" w14:textId="77777777" w:rsidR="00110F51" w:rsidRDefault="00000000">
            <w:pPr>
              <w:keepNext/>
              <w:keepLines/>
              <w:spacing w:after="0" w:line="240" w:lineRule="auto"/>
            </w:pPr>
            <w:r>
              <w:rPr>
                <w:sz w:val="18"/>
              </w:rPr>
              <w:t>6615</w:t>
            </w:r>
          </w:p>
        </w:tc>
        <w:tc>
          <w:tcPr>
            <w:tcW w:w="1860" w:type="dxa"/>
            <w:tcMar>
              <w:top w:w="0" w:type="dxa"/>
              <w:bottom w:w="0" w:type="dxa"/>
            </w:tcMar>
            <w:vAlign w:val="center"/>
          </w:tcPr>
          <w:p w14:paraId="04B22FDF" w14:textId="77777777" w:rsidR="00110F51" w:rsidRDefault="00000000">
            <w:pPr>
              <w:keepNext/>
              <w:keepLines/>
              <w:spacing w:after="0" w:line="240" w:lineRule="auto"/>
              <w:jc w:val="right"/>
            </w:pPr>
            <w:r>
              <w:rPr>
                <w:sz w:val="18"/>
              </w:rPr>
              <w:t>64.319,94</w:t>
            </w:r>
          </w:p>
        </w:tc>
        <w:tc>
          <w:tcPr>
            <w:tcW w:w="1860" w:type="dxa"/>
            <w:tcMar>
              <w:top w:w="0" w:type="dxa"/>
              <w:bottom w:w="0" w:type="dxa"/>
            </w:tcMar>
            <w:vAlign w:val="center"/>
          </w:tcPr>
          <w:p w14:paraId="42E32A72" w14:textId="77777777" w:rsidR="00110F51" w:rsidRDefault="00000000">
            <w:pPr>
              <w:keepNext/>
              <w:keepLines/>
              <w:spacing w:after="0" w:line="240" w:lineRule="auto"/>
              <w:jc w:val="right"/>
            </w:pPr>
            <w:r>
              <w:rPr>
                <w:sz w:val="18"/>
              </w:rPr>
              <w:t>103.571,83</w:t>
            </w:r>
          </w:p>
        </w:tc>
        <w:tc>
          <w:tcPr>
            <w:tcW w:w="700" w:type="dxa"/>
            <w:tcMar>
              <w:top w:w="0" w:type="dxa"/>
              <w:bottom w:w="0" w:type="dxa"/>
            </w:tcMar>
            <w:vAlign w:val="center"/>
          </w:tcPr>
          <w:p w14:paraId="1FE0263E" w14:textId="77777777" w:rsidR="00110F51" w:rsidRDefault="00000000">
            <w:pPr>
              <w:keepNext/>
              <w:keepLines/>
              <w:spacing w:after="0" w:line="240" w:lineRule="auto"/>
              <w:jc w:val="right"/>
            </w:pPr>
            <w:r>
              <w:rPr>
                <w:sz w:val="18"/>
              </w:rPr>
              <w:t>161,0</w:t>
            </w:r>
          </w:p>
        </w:tc>
      </w:tr>
    </w:tbl>
    <w:p w14:paraId="134867FC" w14:textId="77777777" w:rsidR="00110F51" w:rsidRDefault="00110F51">
      <w:pPr>
        <w:spacing w:after="0"/>
      </w:pPr>
    </w:p>
    <w:p w14:paraId="5BC9EC36" w14:textId="77777777" w:rsidR="00110F51" w:rsidRDefault="00000000">
      <w:r>
        <w:t>Prihodi su veći za 61,0% jer je po osnovi pružanja usluga najma prostora HKD-a na Sušaku ostvareno 39.251,89 eura više nego u 2024. godini, prvenstveno zbog povećanja cijena najma u novom cjeniku za 2025., a manjim dijelom i zbog veće potražnje za najmom prostora pa sukladno tome i većeg broja najmova dvorane.</w:t>
      </w:r>
    </w:p>
    <w:p w14:paraId="6C77C043" w14:textId="77777777" w:rsidR="00110F51" w:rsidRDefault="00110F51"/>
    <w:p w14:paraId="4917B2B7" w14:textId="77777777" w:rsidR="00110F51"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7680A2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2FF15F"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4B89A7"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EC91BA"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9F600A"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3446D0"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8D519D" w14:textId="77777777" w:rsidR="00110F51" w:rsidRDefault="00000000">
            <w:pPr>
              <w:keepNext/>
              <w:keepLines/>
              <w:spacing w:after="0" w:line="240" w:lineRule="auto"/>
              <w:jc w:val="center"/>
            </w:pPr>
            <w:r>
              <w:rPr>
                <w:b/>
                <w:sz w:val="18"/>
              </w:rPr>
              <w:t>Indeks (%)</w:t>
            </w:r>
          </w:p>
        </w:tc>
      </w:tr>
      <w:tr w:rsidR="00110F51" w14:paraId="11985916" w14:textId="77777777">
        <w:tblPrEx>
          <w:tblCellMar>
            <w:top w:w="0" w:type="dxa"/>
            <w:bottom w:w="0" w:type="dxa"/>
          </w:tblCellMar>
        </w:tblPrEx>
        <w:trPr>
          <w:cantSplit/>
          <w:trHeight w:val="560"/>
        </w:trPr>
        <w:tc>
          <w:tcPr>
            <w:tcW w:w="700" w:type="dxa"/>
            <w:tcMar>
              <w:top w:w="0" w:type="dxa"/>
              <w:bottom w:w="0" w:type="dxa"/>
            </w:tcMar>
            <w:vAlign w:val="center"/>
          </w:tcPr>
          <w:p w14:paraId="3FE3A70E" w14:textId="77777777" w:rsidR="00110F51" w:rsidRDefault="00000000">
            <w:pPr>
              <w:keepNext/>
              <w:keepLines/>
              <w:spacing w:after="0" w:line="240" w:lineRule="auto"/>
            </w:pPr>
            <w:r>
              <w:rPr>
                <w:sz w:val="18"/>
              </w:rPr>
              <w:t>6711</w:t>
            </w:r>
          </w:p>
        </w:tc>
        <w:tc>
          <w:tcPr>
            <w:tcW w:w="3180" w:type="dxa"/>
            <w:tcMar>
              <w:top w:w="0" w:type="dxa"/>
              <w:bottom w:w="0" w:type="dxa"/>
            </w:tcMar>
            <w:vAlign w:val="center"/>
          </w:tcPr>
          <w:p w14:paraId="1B8CA951" w14:textId="77777777" w:rsidR="00110F51"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7E484B1C" w14:textId="77777777" w:rsidR="00110F51" w:rsidRDefault="00000000">
            <w:pPr>
              <w:keepNext/>
              <w:keepLines/>
              <w:spacing w:after="0" w:line="240" w:lineRule="auto"/>
            </w:pPr>
            <w:r>
              <w:rPr>
                <w:sz w:val="18"/>
              </w:rPr>
              <w:t>6711</w:t>
            </w:r>
          </w:p>
        </w:tc>
        <w:tc>
          <w:tcPr>
            <w:tcW w:w="1860" w:type="dxa"/>
            <w:tcMar>
              <w:top w:w="0" w:type="dxa"/>
              <w:bottom w:w="0" w:type="dxa"/>
            </w:tcMar>
            <w:vAlign w:val="center"/>
          </w:tcPr>
          <w:p w14:paraId="36766456" w14:textId="77777777" w:rsidR="00110F51" w:rsidRDefault="00000000">
            <w:pPr>
              <w:keepNext/>
              <w:keepLines/>
              <w:spacing w:after="0" w:line="240" w:lineRule="auto"/>
              <w:jc w:val="right"/>
            </w:pPr>
            <w:r>
              <w:rPr>
                <w:sz w:val="18"/>
              </w:rPr>
              <w:t>572.543,13</w:t>
            </w:r>
          </w:p>
        </w:tc>
        <w:tc>
          <w:tcPr>
            <w:tcW w:w="1860" w:type="dxa"/>
            <w:tcMar>
              <w:top w:w="0" w:type="dxa"/>
              <w:bottom w:w="0" w:type="dxa"/>
            </w:tcMar>
            <w:vAlign w:val="center"/>
          </w:tcPr>
          <w:p w14:paraId="76F4181F" w14:textId="77777777" w:rsidR="00110F51" w:rsidRDefault="00000000">
            <w:pPr>
              <w:keepNext/>
              <w:keepLines/>
              <w:spacing w:after="0" w:line="240" w:lineRule="auto"/>
              <w:jc w:val="right"/>
            </w:pPr>
            <w:r>
              <w:rPr>
                <w:sz w:val="18"/>
              </w:rPr>
              <w:t>712.369,75</w:t>
            </w:r>
          </w:p>
        </w:tc>
        <w:tc>
          <w:tcPr>
            <w:tcW w:w="700" w:type="dxa"/>
            <w:tcMar>
              <w:top w:w="0" w:type="dxa"/>
              <w:bottom w:w="0" w:type="dxa"/>
            </w:tcMar>
            <w:vAlign w:val="center"/>
          </w:tcPr>
          <w:p w14:paraId="0D4E5826" w14:textId="77777777" w:rsidR="00110F51" w:rsidRDefault="00000000">
            <w:pPr>
              <w:keepNext/>
              <w:keepLines/>
              <w:spacing w:after="0" w:line="240" w:lineRule="auto"/>
              <w:jc w:val="right"/>
            </w:pPr>
            <w:r>
              <w:rPr>
                <w:sz w:val="18"/>
              </w:rPr>
              <w:t>124,4</w:t>
            </w:r>
          </w:p>
        </w:tc>
      </w:tr>
    </w:tbl>
    <w:p w14:paraId="1C9E6C13" w14:textId="77777777" w:rsidR="00110F51" w:rsidRDefault="00110F51">
      <w:pPr>
        <w:spacing w:after="0"/>
      </w:pPr>
    </w:p>
    <w:p w14:paraId="04A4C888" w14:textId="77777777" w:rsidR="00110F51" w:rsidRDefault="00000000">
      <w:r>
        <w:t>Ustanova je ostvarila 139.826,62 eura prihoda više iz nadležnog proračuna za financiranje rashoda poslovanja, za 24,4% više nego 2024. zbog većeg obujma poslovanja ustanove te zbog povećanja osnovice plaća.</w:t>
      </w:r>
    </w:p>
    <w:p w14:paraId="40ADC2A7" w14:textId="77777777" w:rsidR="00110F51" w:rsidRDefault="00110F51"/>
    <w:p w14:paraId="651151D0" w14:textId="77777777" w:rsidR="00110F51"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0F305C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7C8DE6"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5C9BA1"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CB389F"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47EA07"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E9E635"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316D05" w14:textId="77777777" w:rsidR="00110F51" w:rsidRDefault="00000000">
            <w:pPr>
              <w:keepNext/>
              <w:keepLines/>
              <w:spacing w:after="0" w:line="240" w:lineRule="auto"/>
              <w:jc w:val="center"/>
            </w:pPr>
            <w:r>
              <w:rPr>
                <w:b/>
                <w:sz w:val="18"/>
              </w:rPr>
              <w:t>Indeks (%)</w:t>
            </w:r>
          </w:p>
        </w:tc>
      </w:tr>
      <w:tr w:rsidR="00110F51" w14:paraId="5E21B29C" w14:textId="77777777">
        <w:tblPrEx>
          <w:tblCellMar>
            <w:top w:w="0" w:type="dxa"/>
            <w:bottom w:w="0" w:type="dxa"/>
          </w:tblCellMar>
        </w:tblPrEx>
        <w:trPr>
          <w:cantSplit/>
          <w:trHeight w:val="560"/>
        </w:trPr>
        <w:tc>
          <w:tcPr>
            <w:tcW w:w="700" w:type="dxa"/>
            <w:tcMar>
              <w:top w:w="0" w:type="dxa"/>
              <w:bottom w:w="0" w:type="dxa"/>
            </w:tcMar>
            <w:vAlign w:val="center"/>
          </w:tcPr>
          <w:p w14:paraId="4D6C3FA2" w14:textId="77777777" w:rsidR="00110F51" w:rsidRDefault="00000000">
            <w:pPr>
              <w:keepNext/>
              <w:keepLines/>
              <w:spacing w:after="0" w:line="240" w:lineRule="auto"/>
            </w:pPr>
            <w:r>
              <w:rPr>
                <w:sz w:val="18"/>
              </w:rPr>
              <w:t>6712</w:t>
            </w:r>
          </w:p>
        </w:tc>
        <w:tc>
          <w:tcPr>
            <w:tcW w:w="3180" w:type="dxa"/>
            <w:tcMar>
              <w:top w:w="0" w:type="dxa"/>
              <w:bottom w:w="0" w:type="dxa"/>
            </w:tcMar>
            <w:vAlign w:val="center"/>
          </w:tcPr>
          <w:p w14:paraId="4CD20F01" w14:textId="77777777" w:rsidR="00110F51"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31967B72" w14:textId="77777777" w:rsidR="00110F51" w:rsidRDefault="00000000">
            <w:pPr>
              <w:keepNext/>
              <w:keepLines/>
              <w:spacing w:after="0" w:line="240" w:lineRule="auto"/>
            </w:pPr>
            <w:r>
              <w:rPr>
                <w:sz w:val="18"/>
              </w:rPr>
              <w:t>6712</w:t>
            </w:r>
          </w:p>
        </w:tc>
        <w:tc>
          <w:tcPr>
            <w:tcW w:w="1860" w:type="dxa"/>
            <w:tcMar>
              <w:top w:w="0" w:type="dxa"/>
              <w:bottom w:w="0" w:type="dxa"/>
            </w:tcMar>
            <w:vAlign w:val="center"/>
          </w:tcPr>
          <w:p w14:paraId="750A9555" w14:textId="77777777" w:rsidR="00110F51" w:rsidRDefault="00000000">
            <w:pPr>
              <w:keepNext/>
              <w:keepLines/>
              <w:spacing w:after="0" w:line="240" w:lineRule="auto"/>
              <w:jc w:val="right"/>
            </w:pPr>
            <w:r>
              <w:rPr>
                <w:sz w:val="18"/>
              </w:rPr>
              <w:t>123.512,11</w:t>
            </w:r>
          </w:p>
        </w:tc>
        <w:tc>
          <w:tcPr>
            <w:tcW w:w="1860" w:type="dxa"/>
            <w:tcMar>
              <w:top w:w="0" w:type="dxa"/>
              <w:bottom w:w="0" w:type="dxa"/>
            </w:tcMar>
            <w:vAlign w:val="center"/>
          </w:tcPr>
          <w:p w14:paraId="320FE4AD" w14:textId="77777777" w:rsidR="00110F51" w:rsidRDefault="00000000">
            <w:pPr>
              <w:keepNext/>
              <w:keepLines/>
              <w:spacing w:after="0" w:line="240" w:lineRule="auto"/>
              <w:jc w:val="right"/>
            </w:pPr>
            <w:r>
              <w:rPr>
                <w:sz w:val="18"/>
              </w:rPr>
              <w:t>25.090,95</w:t>
            </w:r>
          </w:p>
        </w:tc>
        <w:tc>
          <w:tcPr>
            <w:tcW w:w="700" w:type="dxa"/>
            <w:tcMar>
              <w:top w:w="0" w:type="dxa"/>
              <w:bottom w:w="0" w:type="dxa"/>
            </w:tcMar>
            <w:vAlign w:val="center"/>
          </w:tcPr>
          <w:p w14:paraId="26C491FF" w14:textId="77777777" w:rsidR="00110F51" w:rsidRDefault="00000000">
            <w:pPr>
              <w:keepNext/>
              <w:keepLines/>
              <w:spacing w:after="0" w:line="240" w:lineRule="auto"/>
              <w:jc w:val="right"/>
            </w:pPr>
            <w:r>
              <w:rPr>
                <w:sz w:val="18"/>
              </w:rPr>
              <w:t>20,3</w:t>
            </w:r>
          </w:p>
        </w:tc>
      </w:tr>
    </w:tbl>
    <w:p w14:paraId="4DCDF5BE" w14:textId="77777777" w:rsidR="00110F51" w:rsidRDefault="00110F51">
      <w:pPr>
        <w:spacing w:after="0"/>
      </w:pPr>
    </w:p>
    <w:p w14:paraId="71596984" w14:textId="77777777" w:rsidR="00110F51" w:rsidRDefault="00000000">
      <w:r>
        <w:t>U 2025. godini ustanova je ostvarila prihod iz nadležnog proračuna za financiranje rashoda za nabavu nefinancijske imovine u iznosu 25.090,95 eura po osnovi plaćanja za nabavku vatrogasnih aparata, zvučnika, ventilatora, mobitela, regala, rasvjetnog pulta, reflektora za scenu i hladnjaka, a dio nabavke rasvjetnog pulta je financiran iz vlastitih izvora u iznosu 8.000,00 eura. Indeks u odnosu na 2024. bilježi smanjenje od 79,7% prvenstveno zbog prihoda od 99.490,99 eura za financiranje nabavke dimmera za svjetlo u 2024. godini. </w:t>
      </w:r>
    </w:p>
    <w:p w14:paraId="0E31D196" w14:textId="77777777" w:rsidR="00110F51" w:rsidRDefault="00110F51"/>
    <w:p w14:paraId="284218DF" w14:textId="77777777" w:rsidR="00110F51"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0BFDC1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C0F164"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F93CA8"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98BCC4"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8E8CD5"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BDBB39"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C42649" w14:textId="77777777" w:rsidR="00110F51" w:rsidRDefault="00000000">
            <w:pPr>
              <w:keepNext/>
              <w:keepLines/>
              <w:spacing w:after="0" w:line="240" w:lineRule="auto"/>
              <w:jc w:val="center"/>
            </w:pPr>
            <w:r>
              <w:rPr>
                <w:b/>
                <w:sz w:val="18"/>
              </w:rPr>
              <w:t>Indeks (%)</w:t>
            </w:r>
          </w:p>
        </w:tc>
      </w:tr>
      <w:tr w:rsidR="00110F51" w14:paraId="06A8C20C" w14:textId="77777777">
        <w:tblPrEx>
          <w:tblCellMar>
            <w:top w:w="0" w:type="dxa"/>
            <w:bottom w:w="0" w:type="dxa"/>
          </w:tblCellMar>
        </w:tblPrEx>
        <w:trPr>
          <w:cantSplit/>
          <w:trHeight w:val="560"/>
        </w:trPr>
        <w:tc>
          <w:tcPr>
            <w:tcW w:w="700" w:type="dxa"/>
            <w:tcMar>
              <w:top w:w="0" w:type="dxa"/>
              <w:bottom w:w="0" w:type="dxa"/>
            </w:tcMar>
            <w:vAlign w:val="center"/>
          </w:tcPr>
          <w:p w14:paraId="20FAABFD" w14:textId="77777777" w:rsidR="00110F51" w:rsidRDefault="00000000">
            <w:pPr>
              <w:keepNext/>
              <w:keepLines/>
              <w:spacing w:after="0" w:line="240" w:lineRule="auto"/>
            </w:pPr>
            <w:r>
              <w:rPr>
                <w:sz w:val="18"/>
              </w:rPr>
              <w:t>3111</w:t>
            </w:r>
          </w:p>
        </w:tc>
        <w:tc>
          <w:tcPr>
            <w:tcW w:w="3180" w:type="dxa"/>
            <w:tcMar>
              <w:top w:w="0" w:type="dxa"/>
              <w:bottom w:w="0" w:type="dxa"/>
            </w:tcMar>
            <w:vAlign w:val="center"/>
          </w:tcPr>
          <w:p w14:paraId="4BA4C29B" w14:textId="77777777" w:rsidR="00110F51" w:rsidRDefault="00000000">
            <w:pPr>
              <w:keepNext/>
              <w:keepLines/>
              <w:spacing w:after="0" w:line="240" w:lineRule="auto"/>
            </w:pPr>
            <w:r>
              <w:rPr>
                <w:sz w:val="18"/>
              </w:rPr>
              <w:t>Plaće za redovan rad</w:t>
            </w:r>
          </w:p>
        </w:tc>
        <w:tc>
          <w:tcPr>
            <w:tcW w:w="700" w:type="dxa"/>
            <w:tcMar>
              <w:top w:w="0" w:type="dxa"/>
              <w:bottom w:w="0" w:type="dxa"/>
            </w:tcMar>
            <w:vAlign w:val="center"/>
          </w:tcPr>
          <w:p w14:paraId="0ACA88E8" w14:textId="77777777" w:rsidR="00110F51" w:rsidRDefault="00000000">
            <w:pPr>
              <w:keepNext/>
              <w:keepLines/>
              <w:spacing w:after="0" w:line="240" w:lineRule="auto"/>
            </w:pPr>
            <w:r>
              <w:rPr>
                <w:sz w:val="18"/>
              </w:rPr>
              <w:t>3111</w:t>
            </w:r>
          </w:p>
        </w:tc>
        <w:tc>
          <w:tcPr>
            <w:tcW w:w="1860" w:type="dxa"/>
            <w:tcMar>
              <w:top w:w="0" w:type="dxa"/>
              <w:bottom w:w="0" w:type="dxa"/>
            </w:tcMar>
            <w:vAlign w:val="center"/>
          </w:tcPr>
          <w:p w14:paraId="16F2E288" w14:textId="77777777" w:rsidR="00110F51" w:rsidRDefault="00000000">
            <w:pPr>
              <w:keepNext/>
              <w:keepLines/>
              <w:spacing w:after="0" w:line="240" w:lineRule="auto"/>
              <w:jc w:val="right"/>
            </w:pPr>
            <w:r>
              <w:rPr>
                <w:sz w:val="18"/>
              </w:rPr>
              <w:t>291.125,08</w:t>
            </w:r>
          </w:p>
        </w:tc>
        <w:tc>
          <w:tcPr>
            <w:tcW w:w="1860" w:type="dxa"/>
            <w:tcMar>
              <w:top w:w="0" w:type="dxa"/>
              <w:bottom w:w="0" w:type="dxa"/>
            </w:tcMar>
            <w:vAlign w:val="center"/>
          </w:tcPr>
          <w:p w14:paraId="7EE9425C" w14:textId="77777777" w:rsidR="00110F51" w:rsidRDefault="00000000">
            <w:pPr>
              <w:keepNext/>
              <w:keepLines/>
              <w:spacing w:after="0" w:line="240" w:lineRule="auto"/>
              <w:jc w:val="right"/>
            </w:pPr>
            <w:r>
              <w:rPr>
                <w:sz w:val="18"/>
              </w:rPr>
              <w:t>382.334,08</w:t>
            </w:r>
          </w:p>
        </w:tc>
        <w:tc>
          <w:tcPr>
            <w:tcW w:w="700" w:type="dxa"/>
            <w:tcMar>
              <w:top w:w="0" w:type="dxa"/>
              <w:bottom w:w="0" w:type="dxa"/>
            </w:tcMar>
            <w:vAlign w:val="center"/>
          </w:tcPr>
          <w:p w14:paraId="55A3C426" w14:textId="77777777" w:rsidR="00110F51" w:rsidRDefault="00000000">
            <w:pPr>
              <w:keepNext/>
              <w:keepLines/>
              <w:spacing w:after="0" w:line="240" w:lineRule="auto"/>
              <w:jc w:val="right"/>
            </w:pPr>
            <w:r>
              <w:rPr>
                <w:sz w:val="18"/>
              </w:rPr>
              <w:t>131,3</w:t>
            </w:r>
          </w:p>
        </w:tc>
      </w:tr>
    </w:tbl>
    <w:p w14:paraId="1328EA7A" w14:textId="77777777" w:rsidR="00110F51" w:rsidRDefault="00110F51">
      <w:pPr>
        <w:spacing w:after="0"/>
      </w:pPr>
    </w:p>
    <w:p w14:paraId="23B812EE" w14:textId="77777777" w:rsidR="00110F51" w:rsidRDefault="00000000">
      <w:r>
        <w:t>Plaće za redovan rad su u 2025. godini za 31,3% veće u odnosu na 2024. prvenstveno zbog rasta osnovica plaća u odnosu na 2024. godinu.</w:t>
      </w:r>
    </w:p>
    <w:p w14:paraId="67BAE84F" w14:textId="77777777" w:rsidR="00110F51" w:rsidRDefault="00110F51"/>
    <w:p w14:paraId="086F1337" w14:textId="77777777" w:rsidR="00110F51"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0A899F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40E9C4"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54D44D"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616E7C"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D83CBA"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9E6F74"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26A4B5" w14:textId="77777777" w:rsidR="00110F51" w:rsidRDefault="00000000">
            <w:pPr>
              <w:keepNext/>
              <w:keepLines/>
              <w:spacing w:after="0" w:line="240" w:lineRule="auto"/>
              <w:jc w:val="center"/>
            </w:pPr>
            <w:r>
              <w:rPr>
                <w:b/>
                <w:sz w:val="18"/>
              </w:rPr>
              <w:t>Indeks (%)</w:t>
            </w:r>
          </w:p>
        </w:tc>
      </w:tr>
      <w:tr w:rsidR="00110F51" w14:paraId="4B70A998" w14:textId="77777777">
        <w:tblPrEx>
          <w:tblCellMar>
            <w:top w:w="0" w:type="dxa"/>
            <w:bottom w:w="0" w:type="dxa"/>
          </w:tblCellMar>
        </w:tblPrEx>
        <w:trPr>
          <w:cantSplit/>
          <w:trHeight w:val="560"/>
        </w:trPr>
        <w:tc>
          <w:tcPr>
            <w:tcW w:w="700" w:type="dxa"/>
            <w:tcMar>
              <w:top w:w="0" w:type="dxa"/>
              <w:bottom w:w="0" w:type="dxa"/>
            </w:tcMar>
            <w:vAlign w:val="center"/>
          </w:tcPr>
          <w:p w14:paraId="5CB3133D" w14:textId="77777777" w:rsidR="00110F51" w:rsidRDefault="00000000">
            <w:pPr>
              <w:keepNext/>
              <w:keepLines/>
              <w:spacing w:after="0" w:line="240" w:lineRule="auto"/>
            </w:pPr>
            <w:r>
              <w:rPr>
                <w:sz w:val="18"/>
              </w:rPr>
              <w:t>3114</w:t>
            </w:r>
          </w:p>
        </w:tc>
        <w:tc>
          <w:tcPr>
            <w:tcW w:w="3180" w:type="dxa"/>
            <w:tcMar>
              <w:top w:w="0" w:type="dxa"/>
              <w:bottom w:w="0" w:type="dxa"/>
            </w:tcMar>
            <w:vAlign w:val="center"/>
          </w:tcPr>
          <w:p w14:paraId="5CF5F94E" w14:textId="77777777" w:rsidR="00110F51" w:rsidRDefault="00000000">
            <w:pPr>
              <w:keepNext/>
              <w:keepLines/>
              <w:spacing w:after="0" w:line="240" w:lineRule="auto"/>
            </w:pPr>
            <w:r>
              <w:rPr>
                <w:sz w:val="18"/>
              </w:rPr>
              <w:t>Plaće za posebne uvjete rada</w:t>
            </w:r>
          </w:p>
        </w:tc>
        <w:tc>
          <w:tcPr>
            <w:tcW w:w="700" w:type="dxa"/>
            <w:tcMar>
              <w:top w:w="0" w:type="dxa"/>
              <w:bottom w:w="0" w:type="dxa"/>
            </w:tcMar>
            <w:vAlign w:val="center"/>
          </w:tcPr>
          <w:p w14:paraId="6369FF9F" w14:textId="77777777" w:rsidR="00110F51" w:rsidRDefault="00000000">
            <w:pPr>
              <w:keepNext/>
              <w:keepLines/>
              <w:spacing w:after="0" w:line="240" w:lineRule="auto"/>
            </w:pPr>
            <w:r>
              <w:rPr>
                <w:sz w:val="18"/>
              </w:rPr>
              <w:t>3114</w:t>
            </w:r>
          </w:p>
        </w:tc>
        <w:tc>
          <w:tcPr>
            <w:tcW w:w="1860" w:type="dxa"/>
            <w:tcMar>
              <w:top w:w="0" w:type="dxa"/>
              <w:bottom w:w="0" w:type="dxa"/>
            </w:tcMar>
            <w:vAlign w:val="center"/>
          </w:tcPr>
          <w:p w14:paraId="7480723E" w14:textId="77777777" w:rsidR="00110F51" w:rsidRDefault="00000000">
            <w:pPr>
              <w:keepNext/>
              <w:keepLines/>
              <w:spacing w:after="0" w:line="240" w:lineRule="auto"/>
              <w:jc w:val="right"/>
            </w:pPr>
            <w:r>
              <w:rPr>
                <w:sz w:val="18"/>
              </w:rPr>
              <w:t>13.302,31</w:t>
            </w:r>
          </w:p>
        </w:tc>
        <w:tc>
          <w:tcPr>
            <w:tcW w:w="1860" w:type="dxa"/>
            <w:tcMar>
              <w:top w:w="0" w:type="dxa"/>
              <w:bottom w:w="0" w:type="dxa"/>
            </w:tcMar>
            <w:vAlign w:val="center"/>
          </w:tcPr>
          <w:p w14:paraId="7EAB9B8C" w14:textId="77777777" w:rsidR="00110F51" w:rsidRDefault="00000000">
            <w:pPr>
              <w:keepNext/>
              <w:keepLines/>
              <w:spacing w:after="0" w:line="240" w:lineRule="auto"/>
              <w:jc w:val="right"/>
            </w:pPr>
            <w:r>
              <w:rPr>
                <w:sz w:val="18"/>
              </w:rPr>
              <w:t>17.070,49</w:t>
            </w:r>
          </w:p>
        </w:tc>
        <w:tc>
          <w:tcPr>
            <w:tcW w:w="700" w:type="dxa"/>
            <w:tcMar>
              <w:top w:w="0" w:type="dxa"/>
              <w:bottom w:w="0" w:type="dxa"/>
            </w:tcMar>
            <w:vAlign w:val="center"/>
          </w:tcPr>
          <w:p w14:paraId="187B40C6" w14:textId="77777777" w:rsidR="00110F51" w:rsidRDefault="00000000">
            <w:pPr>
              <w:keepNext/>
              <w:keepLines/>
              <w:spacing w:after="0" w:line="240" w:lineRule="auto"/>
              <w:jc w:val="right"/>
            </w:pPr>
            <w:r>
              <w:rPr>
                <w:sz w:val="18"/>
              </w:rPr>
              <w:t>128,3</w:t>
            </w:r>
          </w:p>
        </w:tc>
      </w:tr>
    </w:tbl>
    <w:p w14:paraId="3C2718DE" w14:textId="77777777" w:rsidR="00110F51" w:rsidRDefault="00110F51">
      <w:pPr>
        <w:spacing w:after="0"/>
      </w:pPr>
    </w:p>
    <w:p w14:paraId="42F1BEA9" w14:textId="77777777" w:rsidR="00110F51" w:rsidRDefault="00000000">
      <w:r>
        <w:t>Plaće za posebne uvjete rada su u 2025. za 28,3% veće u odnosu na 2024. godinu zbog rasta osnovica plaća.</w:t>
      </w:r>
    </w:p>
    <w:p w14:paraId="4F2C3435" w14:textId="77777777" w:rsidR="00110F51" w:rsidRDefault="00110F51"/>
    <w:p w14:paraId="6DDBB4C9" w14:textId="77777777" w:rsidR="00110F51"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6571CE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B37390"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652E8F"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B7F639"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6DAD1E"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972B86"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6D5C12" w14:textId="77777777" w:rsidR="00110F51" w:rsidRDefault="00000000">
            <w:pPr>
              <w:keepNext/>
              <w:keepLines/>
              <w:spacing w:after="0" w:line="240" w:lineRule="auto"/>
              <w:jc w:val="center"/>
            </w:pPr>
            <w:r>
              <w:rPr>
                <w:b/>
                <w:sz w:val="18"/>
              </w:rPr>
              <w:t>Indeks (%)</w:t>
            </w:r>
          </w:p>
        </w:tc>
      </w:tr>
      <w:tr w:rsidR="00110F51" w14:paraId="14158A81" w14:textId="77777777">
        <w:tblPrEx>
          <w:tblCellMar>
            <w:top w:w="0" w:type="dxa"/>
            <w:bottom w:w="0" w:type="dxa"/>
          </w:tblCellMar>
        </w:tblPrEx>
        <w:trPr>
          <w:cantSplit/>
          <w:trHeight w:val="560"/>
        </w:trPr>
        <w:tc>
          <w:tcPr>
            <w:tcW w:w="700" w:type="dxa"/>
            <w:tcMar>
              <w:top w:w="0" w:type="dxa"/>
              <w:bottom w:w="0" w:type="dxa"/>
            </w:tcMar>
            <w:vAlign w:val="center"/>
          </w:tcPr>
          <w:p w14:paraId="5A05DB76" w14:textId="77777777" w:rsidR="00110F51" w:rsidRDefault="00000000">
            <w:pPr>
              <w:keepNext/>
              <w:keepLines/>
              <w:spacing w:after="0" w:line="240" w:lineRule="auto"/>
            </w:pPr>
            <w:r>
              <w:rPr>
                <w:sz w:val="18"/>
              </w:rPr>
              <w:t>312</w:t>
            </w:r>
          </w:p>
        </w:tc>
        <w:tc>
          <w:tcPr>
            <w:tcW w:w="3180" w:type="dxa"/>
            <w:tcMar>
              <w:top w:w="0" w:type="dxa"/>
              <w:bottom w:w="0" w:type="dxa"/>
            </w:tcMar>
            <w:vAlign w:val="center"/>
          </w:tcPr>
          <w:p w14:paraId="2DC12160" w14:textId="77777777" w:rsidR="00110F51"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652A1BBE" w14:textId="77777777" w:rsidR="00110F51" w:rsidRDefault="00000000">
            <w:pPr>
              <w:keepNext/>
              <w:keepLines/>
              <w:spacing w:after="0" w:line="240" w:lineRule="auto"/>
            </w:pPr>
            <w:r>
              <w:rPr>
                <w:sz w:val="18"/>
              </w:rPr>
              <w:t>312</w:t>
            </w:r>
          </w:p>
        </w:tc>
        <w:tc>
          <w:tcPr>
            <w:tcW w:w="1860" w:type="dxa"/>
            <w:tcMar>
              <w:top w:w="0" w:type="dxa"/>
              <w:bottom w:w="0" w:type="dxa"/>
            </w:tcMar>
            <w:vAlign w:val="center"/>
          </w:tcPr>
          <w:p w14:paraId="1B7726E3" w14:textId="77777777" w:rsidR="00110F51" w:rsidRDefault="00000000">
            <w:pPr>
              <w:keepNext/>
              <w:keepLines/>
              <w:spacing w:after="0" w:line="240" w:lineRule="auto"/>
              <w:jc w:val="right"/>
            </w:pPr>
            <w:r>
              <w:rPr>
                <w:sz w:val="18"/>
              </w:rPr>
              <w:t>26.128,67</w:t>
            </w:r>
          </w:p>
        </w:tc>
        <w:tc>
          <w:tcPr>
            <w:tcW w:w="1860" w:type="dxa"/>
            <w:tcMar>
              <w:top w:w="0" w:type="dxa"/>
              <w:bottom w:w="0" w:type="dxa"/>
            </w:tcMar>
            <w:vAlign w:val="center"/>
          </w:tcPr>
          <w:p w14:paraId="451B844B" w14:textId="77777777" w:rsidR="00110F51" w:rsidRDefault="00000000">
            <w:pPr>
              <w:keepNext/>
              <w:keepLines/>
              <w:spacing w:after="0" w:line="240" w:lineRule="auto"/>
              <w:jc w:val="right"/>
            </w:pPr>
            <w:r>
              <w:rPr>
                <w:sz w:val="18"/>
              </w:rPr>
              <w:t>32.187,48</w:t>
            </w:r>
          </w:p>
        </w:tc>
        <w:tc>
          <w:tcPr>
            <w:tcW w:w="700" w:type="dxa"/>
            <w:tcMar>
              <w:top w:w="0" w:type="dxa"/>
              <w:bottom w:w="0" w:type="dxa"/>
            </w:tcMar>
            <w:vAlign w:val="center"/>
          </w:tcPr>
          <w:p w14:paraId="4BAF0311" w14:textId="77777777" w:rsidR="00110F51" w:rsidRDefault="00000000">
            <w:pPr>
              <w:keepNext/>
              <w:keepLines/>
              <w:spacing w:after="0" w:line="240" w:lineRule="auto"/>
              <w:jc w:val="right"/>
            </w:pPr>
            <w:r>
              <w:rPr>
                <w:sz w:val="18"/>
              </w:rPr>
              <w:t>123,2</w:t>
            </w:r>
          </w:p>
        </w:tc>
      </w:tr>
    </w:tbl>
    <w:p w14:paraId="196F3CD9" w14:textId="77777777" w:rsidR="00110F51" w:rsidRDefault="00110F51">
      <w:pPr>
        <w:spacing w:after="0"/>
      </w:pPr>
    </w:p>
    <w:p w14:paraId="5B7E1D55" w14:textId="77777777" w:rsidR="00110F51" w:rsidRDefault="00000000">
      <w:r>
        <w:lastRenderedPageBreak/>
        <w:t>Ostali rashodi su u 2025. za 23,2% veći u odnosu na 2024. godinu zbog isplate jubilarnih nagrada, nagrada za radne rezultate i naknada za smrt člana uže obitelji.</w:t>
      </w:r>
    </w:p>
    <w:p w14:paraId="1038312E" w14:textId="77777777" w:rsidR="00110F51" w:rsidRDefault="00110F51"/>
    <w:p w14:paraId="56C36962" w14:textId="77777777" w:rsidR="00110F51"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779F1E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AEACDF"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2A9970"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4D40E5"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BF578D"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8E8533"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98F296" w14:textId="77777777" w:rsidR="00110F51" w:rsidRDefault="00000000">
            <w:pPr>
              <w:keepNext/>
              <w:keepLines/>
              <w:spacing w:after="0" w:line="240" w:lineRule="auto"/>
              <w:jc w:val="center"/>
            </w:pPr>
            <w:r>
              <w:rPr>
                <w:b/>
                <w:sz w:val="18"/>
              </w:rPr>
              <w:t>Indeks (%)</w:t>
            </w:r>
          </w:p>
        </w:tc>
      </w:tr>
      <w:tr w:rsidR="00110F51" w14:paraId="01681073" w14:textId="77777777">
        <w:tblPrEx>
          <w:tblCellMar>
            <w:top w:w="0" w:type="dxa"/>
            <w:bottom w:w="0" w:type="dxa"/>
          </w:tblCellMar>
        </w:tblPrEx>
        <w:trPr>
          <w:cantSplit/>
          <w:trHeight w:val="560"/>
        </w:trPr>
        <w:tc>
          <w:tcPr>
            <w:tcW w:w="700" w:type="dxa"/>
            <w:tcMar>
              <w:top w:w="0" w:type="dxa"/>
              <w:bottom w:w="0" w:type="dxa"/>
            </w:tcMar>
            <w:vAlign w:val="center"/>
          </w:tcPr>
          <w:p w14:paraId="2E530C2A" w14:textId="77777777" w:rsidR="00110F51" w:rsidRDefault="00000000">
            <w:pPr>
              <w:keepNext/>
              <w:keepLines/>
              <w:spacing w:after="0" w:line="240" w:lineRule="auto"/>
            </w:pPr>
            <w:r>
              <w:rPr>
                <w:sz w:val="18"/>
              </w:rPr>
              <w:t>3132</w:t>
            </w:r>
          </w:p>
        </w:tc>
        <w:tc>
          <w:tcPr>
            <w:tcW w:w="3180" w:type="dxa"/>
            <w:tcMar>
              <w:top w:w="0" w:type="dxa"/>
              <w:bottom w:w="0" w:type="dxa"/>
            </w:tcMar>
            <w:vAlign w:val="center"/>
          </w:tcPr>
          <w:p w14:paraId="430661A1" w14:textId="77777777" w:rsidR="00110F51"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66DC2412" w14:textId="77777777" w:rsidR="00110F51" w:rsidRDefault="00000000">
            <w:pPr>
              <w:keepNext/>
              <w:keepLines/>
              <w:spacing w:after="0" w:line="240" w:lineRule="auto"/>
            </w:pPr>
            <w:r>
              <w:rPr>
                <w:sz w:val="18"/>
              </w:rPr>
              <w:t>3132</w:t>
            </w:r>
          </w:p>
        </w:tc>
        <w:tc>
          <w:tcPr>
            <w:tcW w:w="1860" w:type="dxa"/>
            <w:tcMar>
              <w:top w:w="0" w:type="dxa"/>
              <w:bottom w:w="0" w:type="dxa"/>
            </w:tcMar>
            <w:vAlign w:val="center"/>
          </w:tcPr>
          <w:p w14:paraId="2660A46D" w14:textId="77777777" w:rsidR="00110F51" w:rsidRDefault="00000000">
            <w:pPr>
              <w:keepNext/>
              <w:keepLines/>
              <w:spacing w:after="0" w:line="240" w:lineRule="auto"/>
              <w:jc w:val="right"/>
            </w:pPr>
            <w:r>
              <w:rPr>
                <w:sz w:val="18"/>
              </w:rPr>
              <w:t>50.519,02</w:t>
            </w:r>
          </w:p>
        </w:tc>
        <w:tc>
          <w:tcPr>
            <w:tcW w:w="1860" w:type="dxa"/>
            <w:tcMar>
              <w:top w:w="0" w:type="dxa"/>
              <w:bottom w:w="0" w:type="dxa"/>
            </w:tcMar>
            <w:vAlign w:val="center"/>
          </w:tcPr>
          <w:p w14:paraId="6490B3ED" w14:textId="77777777" w:rsidR="00110F51" w:rsidRDefault="00000000">
            <w:pPr>
              <w:keepNext/>
              <w:keepLines/>
              <w:spacing w:after="0" w:line="240" w:lineRule="auto"/>
              <w:jc w:val="right"/>
            </w:pPr>
            <w:r>
              <w:rPr>
                <w:sz w:val="18"/>
              </w:rPr>
              <w:t>66.355,60</w:t>
            </w:r>
          </w:p>
        </w:tc>
        <w:tc>
          <w:tcPr>
            <w:tcW w:w="700" w:type="dxa"/>
            <w:tcMar>
              <w:top w:w="0" w:type="dxa"/>
              <w:bottom w:w="0" w:type="dxa"/>
            </w:tcMar>
            <w:vAlign w:val="center"/>
          </w:tcPr>
          <w:p w14:paraId="1E536C22" w14:textId="77777777" w:rsidR="00110F51" w:rsidRDefault="00000000">
            <w:pPr>
              <w:keepNext/>
              <w:keepLines/>
              <w:spacing w:after="0" w:line="240" w:lineRule="auto"/>
              <w:jc w:val="right"/>
            </w:pPr>
            <w:r>
              <w:rPr>
                <w:sz w:val="18"/>
              </w:rPr>
              <w:t>131,3</w:t>
            </w:r>
          </w:p>
        </w:tc>
      </w:tr>
    </w:tbl>
    <w:p w14:paraId="104BB2D1" w14:textId="77777777" w:rsidR="00110F51" w:rsidRDefault="00110F51">
      <w:pPr>
        <w:spacing w:after="0"/>
      </w:pPr>
    </w:p>
    <w:p w14:paraId="4317C7C1" w14:textId="77777777" w:rsidR="00110F51" w:rsidRDefault="00000000">
      <w:r>
        <w:t>Doprinosi za obvezno zdravstveno osiguranje su 2025. za 31,3% veći u odnosu na isto razdoblje 2024. zbog rasta osnovica plaća.</w:t>
      </w:r>
    </w:p>
    <w:p w14:paraId="02571591" w14:textId="77777777" w:rsidR="00110F51" w:rsidRDefault="00110F51"/>
    <w:p w14:paraId="61E2FA65" w14:textId="77777777" w:rsidR="00110F51"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606995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ACE0AA"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33C0CA"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77AF7E"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9451C3"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116947"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008E8C" w14:textId="77777777" w:rsidR="00110F51" w:rsidRDefault="00000000">
            <w:pPr>
              <w:keepNext/>
              <w:keepLines/>
              <w:spacing w:after="0" w:line="240" w:lineRule="auto"/>
              <w:jc w:val="center"/>
            </w:pPr>
            <w:r>
              <w:rPr>
                <w:b/>
                <w:sz w:val="18"/>
              </w:rPr>
              <w:t>Indeks (%)</w:t>
            </w:r>
          </w:p>
        </w:tc>
      </w:tr>
      <w:tr w:rsidR="00110F51" w14:paraId="04E78AAC" w14:textId="77777777">
        <w:tblPrEx>
          <w:tblCellMar>
            <w:top w:w="0" w:type="dxa"/>
            <w:bottom w:w="0" w:type="dxa"/>
          </w:tblCellMar>
        </w:tblPrEx>
        <w:trPr>
          <w:cantSplit/>
          <w:trHeight w:val="560"/>
        </w:trPr>
        <w:tc>
          <w:tcPr>
            <w:tcW w:w="700" w:type="dxa"/>
            <w:tcMar>
              <w:top w:w="0" w:type="dxa"/>
              <w:bottom w:w="0" w:type="dxa"/>
            </w:tcMar>
            <w:vAlign w:val="center"/>
          </w:tcPr>
          <w:p w14:paraId="4D8CFD85" w14:textId="77777777" w:rsidR="00110F51" w:rsidRDefault="00000000">
            <w:pPr>
              <w:keepNext/>
              <w:keepLines/>
              <w:spacing w:after="0" w:line="240" w:lineRule="auto"/>
            </w:pPr>
            <w:r>
              <w:rPr>
                <w:sz w:val="18"/>
              </w:rPr>
              <w:t>3211</w:t>
            </w:r>
          </w:p>
        </w:tc>
        <w:tc>
          <w:tcPr>
            <w:tcW w:w="3180" w:type="dxa"/>
            <w:tcMar>
              <w:top w:w="0" w:type="dxa"/>
              <w:bottom w:w="0" w:type="dxa"/>
            </w:tcMar>
            <w:vAlign w:val="center"/>
          </w:tcPr>
          <w:p w14:paraId="34E6C22A" w14:textId="77777777" w:rsidR="00110F51" w:rsidRDefault="00000000">
            <w:pPr>
              <w:keepNext/>
              <w:keepLines/>
              <w:spacing w:after="0" w:line="240" w:lineRule="auto"/>
            </w:pPr>
            <w:r>
              <w:rPr>
                <w:sz w:val="18"/>
              </w:rPr>
              <w:t>Službena putovanja</w:t>
            </w:r>
          </w:p>
        </w:tc>
        <w:tc>
          <w:tcPr>
            <w:tcW w:w="700" w:type="dxa"/>
            <w:tcMar>
              <w:top w:w="0" w:type="dxa"/>
              <w:bottom w:w="0" w:type="dxa"/>
            </w:tcMar>
            <w:vAlign w:val="center"/>
          </w:tcPr>
          <w:p w14:paraId="13B39FD9" w14:textId="77777777" w:rsidR="00110F51" w:rsidRDefault="00000000">
            <w:pPr>
              <w:keepNext/>
              <w:keepLines/>
              <w:spacing w:after="0" w:line="240" w:lineRule="auto"/>
            </w:pPr>
            <w:r>
              <w:rPr>
                <w:sz w:val="18"/>
              </w:rPr>
              <w:t>3211</w:t>
            </w:r>
          </w:p>
        </w:tc>
        <w:tc>
          <w:tcPr>
            <w:tcW w:w="1860" w:type="dxa"/>
            <w:tcMar>
              <w:top w:w="0" w:type="dxa"/>
              <w:bottom w:w="0" w:type="dxa"/>
            </w:tcMar>
            <w:vAlign w:val="center"/>
          </w:tcPr>
          <w:p w14:paraId="6D081275" w14:textId="77777777" w:rsidR="00110F51" w:rsidRDefault="00000000">
            <w:pPr>
              <w:keepNext/>
              <w:keepLines/>
              <w:spacing w:after="0" w:line="240" w:lineRule="auto"/>
              <w:jc w:val="right"/>
            </w:pPr>
            <w:r>
              <w:rPr>
                <w:sz w:val="18"/>
              </w:rPr>
              <w:t>6.642,28</w:t>
            </w:r>
          </w:p>
        </w:tc>
        <w:tc>
          <w:tcPr>
            <w:tcW w:w="1860" w:type="dxa"/>
            <w:tcMar>
              <w:top w:w="0" w:type="dxa"/>
              <w:bottom w:w="0" w:type="dxa"/>
            </w:tcMar>
            <w:vAlign w:val="center"/>
          </w:tcPr>
          <w:p w14:paraId="69B90F68" w14:textId="77777777" w:rsidR="00110F51" w:rsidRDefault="00000000">
            <w:pPr>
              <w:keepNext/>
              <w:keepLines/>
              <w:spacing w:after="0" w:line="240" w:lineRule="auto"/>
              <w:jc w:val="right"/>
            </w:pPr>
            <w:r>
              <w:rPr>
                <w:sz w:val="18"/>
              </w:rPr>
              <w:t>5.731,18</w:t>
            </w:r>
          </w:p>
        </w:tc>
        <w:tc>
          <w:tcPr>
            <w:tcW w:w="700" w:type="dxa"/>
            <w:tcMar>
              <w:top w:w="0" w:type="dxa"/>
              <w:bottom w:w="0" w:type="dxa"/>
            </w:tcMar>
            <w:vAlign w:val="center"/>
          </w:tcPr>
          <w:p w14:paraId="7B910130" w14:textId="77777777" w:rsidR="00110F51" w:rsidRDefault="00000000">
            <w:pPr>
              <w:keepNext/>
              <w:keepLines/>
              <w:spacing w:after="0" w:line="240" w:lineRule="auto"/>
              <w:jc w:val="right"/>
            </w:pPr>
            <w:r>
              <w:rPr>
                <w:sz w:val="18"/>
              </w:rPr>
              <w:t>86,3</w:t>
            </w:r>
          </w:p>
        </w:tc>
      </w:tr>
    </w:tbl>
    <w:p w14:paraId="41BFA241" w14:textId="77777777" w:rsidR="00110F51" w:rsidRDefault="00110F51">
      <w:pPr>
        <w:spacing w:after="0"/>
      </w:pPr>
    </w:p>
    <w:p w14:paraId="6FC0732C" w14:textId="77777777" w:rsidR="00110F51" w:rsidRDefault="00000000">
      <w:r>
        <w:t>Rashodi za službena putovanja manji su za 13,7% u odnosu na prošlogodišnje radi kraćih relacija službenih putovanja u 2025. – po osnovi Projekta Moving Balkans - regionalna plesna platforma u 2025. i to su putovanja u Zagreb i Ljubljanu.</w:t>
      </w:r>
    </w:p>
    <w:p w14:paraId="450F5DD7" w14:textId="77777777" w:rsidR="00110F51" w:rsidRDefault="00110F51"/>
    <w:p w14:paraId="798FC882" w14:textId="77777777" w:rsidR="00110F51"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513DA6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0C2767"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505DC8"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2A8072"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8E777E"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8B140F"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8D63E2" w14:textId="77777777" w:rsidR="00110F51" w:rsidRDefault="00000000">
            <w:pPr>
              <w:keepNext/>
              <w:keepLines/>
              <w:spacing w:after="0" w:line="240" w:lineRule="auto"/>
              <w:jc w:val="center"/>
            </w:pPr>
            <w:r>
              <w:rPr>
                <w:b/>
                <w:sz w:val="18"/>
              </w:rPr>
              <w:t>Indeks (%)</w:t>
            </w:r>
          </w:p>
        </w:tc>
      </w:tr>
      <w:tr w:rsidR="00110F51" w14:paraId="539E2E60" w14:textId="77777777">
        <w:tblPrEx>
          <w:tblCellMar>
            <w:top w:w="0" w:type="dxa"/>
            <w:bottom w:w="0" w:type="dxa"/>
          </w:tblCellMar>
        </w:tblPrEx>
        <w:trPr>
          <w:cantSplit/>
          <w:trHeight w:val="560"/>
        </w:trPr>
        <w:tc>
          <w:tcPr>
            <w:tcW w:w="700" w:type="dxa"/>
            <w:tcMar>
              <w:top w:w="0" w:type="dxa"/>
              <w:bottom w:w="0" w:type="dxa"/>
            </w:tcMar>
            <w:vAlign w:val="center"/>
          </w:tcPr>
          <w:p w14:paraId="451CD45B" w14:textId="77777777" w:rsidR="00110F51" w:rsidRDefault="00000000">
            <w:pPr>
              <w:keepNext/>
              <w:keepLines/>
              <w:spacing w:after="0" w:line="240" w:lineRule="auto"/>
            </w:pPr>
            <w:r>
              <w:rPr>
                <w:sz w:val="18"/>
              </w:rPr>
              <w:t>3212</w:t>
            </w:r>
          </w:p>
        </w:tc>
        <w:tc>
          <w:tcPr>
            <w:tcW w:w="3180" w:type="dxa"/>
            <w:tcMar>
              <w:top w:w="0" w:type="dxa"/>
              <w:bottom w:w="0" w:type="dxa"/>
            </w:tcMar>
            <w:vAlign w:val="center"/>
          </w:tcPr>
          <w:p w14:paraId="7E0B6FE3" w14:textId="77777777" w:rsidR="00110F51"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17D04696" w14:textId="77777777" w:rsidR="00110F51" w:rsidRDefault="00000000">
            <w:pPr>
              <w:keepNext/>
              <w:keepLines/>
              <w:spacing w:after="0" w:line="240" w:lineRule="auto"/>
            </w:pPr>
            <w:r>
              <w:rPr>
                <w:sz w:val="18"/>
              </w:rPr>
              <w:t>3212</w:t>
            </w:r>
          </w:p>
        </w:tc>
        <w:tc>
          <w:tcPr>
            <w:tcW w:w="1860" w:type="dxa"/>
            <w:tcMar>
              <w:top w:w="0" w:type="dxa"/>
              <w:bottom w:w="0" w:type="dxa"/>
            </w:tcMar>
            <w:vAlign w:val="center"/>
          </w:tcPr>
          <w:p w14:paraId="2C30AA5B" w14:textId="77777777" w:rsidR="00110F51" w:rsidRDefault="00000000">
            <w:pPr>
              <w:keepNext/>
              <w:keepLines/>
              <w:spacing w:after="0" w:line="240" w:lineRule="auto"/>
              <w:jc w:val="right"/>
            </w:pPr>
            <w:r>
              <w:rPr>
                <w:sz w:val="18"/>
              </w:rPr>
              <w:t>7.331,61</w:t>
            </w:r>
          </w:p>
        </w:tc>
        <w:tc>
          <w:tcPr>
            <w:tcW w:w="1860" w:type="dxa"/>
            <w:tcMar>
              <w:top w:w="0" w:type="dxa"/>
              <w:bottom w:w="0" w:type="dxa"/>
            </w:tcMar>
            <w:vAlign w:val="center"/>
          </w:tcPr>
          <w:p w14:paraId="620431EF" w14:textId="77777777" w:rsidR="00110F51" w:rsidRDefault="00000000">
            <w:pPr>
              <w:keepNext/>
              <w:keepLines/>
              <w:spacing w:after="0" w:line="240" w:lineRule="auto"/>
              <w:jc w:val="right"/>
            </w:pPr>
            <w:r>
              <w:rPr>
                <w:sz w:val="18"/>
              </w:rPr>
              <w:t>9.127,93</w:t>
            </w:r>
          </w:p>
        </w:tc>
        <w:tc>
          <w:tcPr>
            <w:tcW w:w="700" w:type="dxa"/>
            <w:tcMar>
              <w:top w:w="0" w:type="dxa"/>
              <w:bottom w:w="0" w:type="dxa"/>
            </w:tcMar>
            <w:vAlign w:val="center"/>
          </w:tcPr>
          <w:p w14:paraId="55FC8599" w14:textId="77777777" w:rsidR="00110F51" w:rsidRDefault="00000000">
            <w:pPr>
              <w:keepNext/>
              <w:keepLines/>
              <w:spacing w:after="0" w:line="240" w:lineRule="auto"/>
              <w:jc w:val="right"/>
            </w:pPr>
            <w:r>
              <w:rPr>
                <w:sz w:val="18"/>
              </w:rPr>
              <w:t>124,5</w:t>
            </w:r>
          </w:p>
        </w:tc>
      </w:tr>
    </w:tbl>
    <w:p w14:paraId="7665F303" w14:textId="77777777" w:rsidR="00110F51" w:rsidRDefault="00110F51">
      <w:pPr>
        <w:spacing w:after="0"/>
      </w:pPr>
    </w:p>
    <w:p w14:paraId="4028A7A3" w14:textId="77777777" w:rsidR="00110F51" w:rsidRDefault="00000000">
      <w:r>
        <w:t>Naknada za prijevoz je 24,5% viša nego u 2024. zbog rasta tarife autoprijevoznika za obračun naknade prijevoza na posao u 2025.</w:t>
      </w:r>
    </w:p>
    <w:p w14:paraId="72B3E144" w14:textId="77777777" w:rsidR="00110F51" w:rsidRDefault="00110F51"/>
    <w:p w14:paraId="79D5F1B9" w14:textId="77777777" w:rsidR="00110F51"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322F20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A74882"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957845"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33CF20"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9DD35E"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C2A7B2"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A83CBE" w14:textId="77777777" w:rsidR="00110F51" w:rsidRDefault="00000000">
            <w:pPr>
              <w:keepNext/>
              <w:keepLines/>
              <w:spacing w:after="0" w:line="240" w:lineRule="auto"/>
              <w:jc w:val="center"/>
            </w:pPr>
            <w:r>
              <w:rPr>
                <w:b/>
                <w:sz w:val="18"/>
              </w:rPr>
              <w:t>Indeks (%)</w:t>
            </w:r>
          </w:p>
        </w:tc>
      </w:tr>
      <w:tr w:rsidR="00110F51" w14:paraId="51DE6FB1" w14:textId="77777777">
        <w:tblPrEx>
          <w:tblCellMar>
            <w:top w:w="0" w:type="dxa"/>
            <w:bottom w:w="0" w:type="dxa"/>
          </w:tblCellMar>
        </w:tblPrEx>
        <w:trPr>
          <w:cantSplit/>
          <w:trHeight w:val="560"/>
        </w:trPr>
        <w:tc>
          <w:tcPr>
            <w:tcW w:w="700" w:type="dxa"/>
            <w:tcMar>
              <w:top w:w="0" w:type="dxa"/>
              <w:bottom w:w="0" w:type="dxa"/>
            </w:tcMar>
            <w:vAlign w:val="center"/>
          </w:tcPr>
          <w:p w14:paraId="54F0B3C2" w14:textId="77777777" w:rsidR="00110F51" w:rsidRDefault="00000000">
            <w:pPr>
              <w:keepNext/>
              <w:keepLines/>
              <w:spacing w:after="0" w:line="240" w:lineRule="auto"/>
            </w:pPr>
            <w:r>
              <w:rPr>
                <w:sz w:val="18"/>
              </w:rPr>
              <w:t>3213</w:t>
            </w:r>
          </w:p>
        </w:tc>
        <w:tc>
          <w:tcPr>
            <w:tcW w:w="3180" w:type="dxa"/>
            <w:tcMar>
              <w:top w:w="0" w:type="dxa"/>
              <w:bottom w:w="0" w:type="dxa"/>
            </w:tcMar>
            <w:vAlign w:val="center"/>
          </w:tcPr>
          <w:p w14:paraId="312CF989" w14:textId="77777777" w:rsidR="00110F51"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256DD15E" w14:textId="77777777" w:rsidR="00110F51" w:rsidRDefault="00000000">
            <w:pPr>
              <w:keepNext/>
              <w:keepLines/>
              <w:spacing w:after="0" w:line="240" w:lineRule="auto"/>
            </w:pPr>
            <w:r>
              <w:rPr>
                <w:sz w:val="18"/>
              </w:rPr>
              <w:t>3213</w:t>
            </w:r>
          </w:p>
        </w:tc>
        <w:tc>
          <w:tcPr>
            <w:tcW w:w="1860" w:type="dxa"/>
            <w:tcMar>
              <w:top w:w="0" w:type="dxa"/>
              <w:bottom w:w="0" w:type="dxa"/>
            </w:tcMar>
            <w:vAlign w:val="center"/>
          </w:tcPr>
          <w:p w14:paraId="0105B967" w14:textId="77777777" w:rsidR="00110F51" w:rsidRDefault="00000000">
            <w:pPr>
              <w:keepNext/>
              <w:keepLines/>
              <w:spacing w:after="0" w:line="240" w:lineRule="auto"/>
              <w:jc w:val="right"/>
            </w:pPr>
            <w:r>
              <w:rPr>
                <w:sz w:val="18"/>
              </w:rPr>
              <w:t>1.460,59</w:t>
            </w:r>
          </w:p>
        </w:tc>
        <w:tc>
          <w:tcPr>
            <w:tcW w:w="1860" w:type="dxa"/>
            <w:tcMar>
              <w:top w:w="0" w:type="dxa"/>
              <w:bottom w:w="0" w:type="dxa"/>
            </w:tcMar>
            <w:vAlign w:val="center"/>
          </w:tcPr>
          <w:p w14:paraId="53A64503" w14:textId="77777777" w:rsidR="00110F51" w:rsidRDefault="00000000">
            <w:pPr>
              <w:keepNext/>
              <w:keepLines/>
              <w:spacing w:after="0" w:line="240" w:lineRule="auto"/>
              <w:jc w:val="right"/>
            </w:pPr>
            <w:r>
              <w:rPr>
                <w:sz w:val="18"/>
              </w:rPr>
              <w:t>1.496,74</w:t>
            </w:r>
          </w:p>
        </w:tc>
        <w:tc>
          <w:tcPr>
            <w:tcW w:w="700" w:type="dxa"/>
            <w:tcMar>
              <w:top w:w="0" w:type="dxa"/>
              <w:bottom w:w="0" w:type="dxa"/>
            </w:tcMar>
            <w:vAlign w:val="center"/>
          </w:tcPr>
          <w:p w14:paraId="2CB25E75" w14:textId="77777777" w:rsidR="00110F51" w:rsidRDefault="00000000">
            <w:pPr>
              <w:keepNext/>
              <w:keepLines/>
              <w:spacing w:after="0" w:line="240" w:lineRule="auto"/>
              <w:jc w:val="right"/>
            </w:pPr>
            <w:r>
              <w:rPr>
                <w:sz w:val="18"/>
              </w:rPr>
              <w:t>102,5</w:t>
            </w:r>
          </w:p>
        </w:tc>
      </w:tr>
    </w:tbl>
    <w:p w14:paraId="5D6FB430" w14:textId="77777777" w:rsidR="00110F51" w:rsidRDefault="00110F51">
      <w:pPr>
        <w:spacing w:after="0"/>
      </w:pPr>
    </w:p>
    <w:p w14:paraId="21607BF1" w14:textId="77777777" w:rsidR="00110F51" w:rsidRDefault="00000000">
      <w:r>
        <w:lastRenderedPageBreak/>
        <w:t>Rashodi stručnog usavršavanja zaposlenika iznose 1.496,74 eura u 2025. i veći su za 2,5%, a u odnosu na 2024., u 2025. uključuju i polaganje stručnog ispita zaposlenika za upravljanje energetskim postrojenjima.</w:t>
      </w:r>
    </w:p>
    <w:p w14:paraId="0D7F929D" w14:textId="77777777" w:rsidR="00110F51" w:rsidRDefault="00110F51"/>
    <w:p w14:paraId="72283E24" w14:textId="77777777" w:rsidR="00110F51"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3D1411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E4D242"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62E619"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2228CC"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83DA2C"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55AF6F"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383348" w14:textId="77777777" w:rsidR="00110F51" w:rsidRDefault="00000000">
            <w:pPr>
              <w:keepNext/>
              <w:keepLines/>
              <w:spacing w:after="0" w:line="240" w:lineRule="auto"/>
              <w:jc w:val="center"/>
            </w:pPr>
            <w:r>
              <w:rPr>
                <w:b/>
                <w:sz w:val="18"/>
              </w:rPr>
              <w:t>Indeks (%)</w:t>
            </w:r>
          </w:p>
        </w:tc>
      </w:tr>
      <w:tr w:rsidR="00110F51" w14:paraId="51AA1550" w14:textId="77777777">
        <w:tblPrEx>
          <w:tblCellMar>
            <w:top w:w="0" w:type="dxa"/>
            <w:bottom w:w="0" w:type="dxa"/>
          </w:tblCellMar>
        </w:tblPrEx>
        <w:trPr>
          <w:cantSplit/>
          <w:trHeight w:val="560"/>
        </w:trPr>
        <w:tc>
          <w:tcPr>
            <w:tcW w:w="700" w:type="dxa"/>
            <w:tcMar>
              <w:top w:w="0" w:type="dxa"/>
              <w:bottom w:w="0" w:type="dxa"/>
            </w:tcMar>
            <w:vAlign w:val="center"/>
          </w:tcPr>
          <w:p w14:paraId="45F6B605" w14:textId="77777777" w:rsidR="00110F51" w:rsidRDefault="00000000">
            <w:pPr>
              <w:keepNext/>
              <w:keepLines/>
              <w:spacing w:after="0" w:line="240" w:lineRule="auto"/>
            </w:pPr>
            <w:r>
              <w:rPr>
                <w:sz w:val="18"/>
              </w:rPr>
              <w:t>3214</w:t>
            </w:r>
          </w:p>
        </w:tc>
        <w:tc>
          <w:tcPr>
            <w:tcW w:w="3180" w:type="dxa"/>
            <w:tcMar>
              <w:top w:w="0" w:type="dxa"/>
              <w:bottom w:w="0" w:type="dxa"/>
            </w:tcMar>
            <w:vAlign w:val="center"/>
          </w:tcPr>
          <w:p w14:paraId="24B1C30C" w14:textId="77777777" w:rsidR="00110F51" w:rsidRDefault="00000000">
            <w:pPr>
              <w:keepNext/>
              <w:keepLines/>
              <w:spacing w:after="0" w:line="240" w:lineRule="auto"/>
            </w:pPr>
            <w:r>
              <w:rPr>
                <w:sz w:val="18"/>
              </w:rPr>
              <w:t>Ostale naknade troškova zaposlenima</w:t>
            </w:r>
          </w:p>
        </w:tc>
        <w:tc>
          <w:tcPr>
            <w:tcW w:w="700" w:type="dxa"/>
            <w:tcMar>
              <w:top w:w="0" w:type="dxa"/>
              <w:bottom w:w="0" w:type="dxa"/>
            </w:tcMar>
            <w:vAlign w:val="center"/>
          </w:tcPr>
          <w:p w14:paraId="5294660B" w14:textId="77777777" w:rsidR="00110F51" w:rsidRDefault="00000000">
            <w:pPr>
              <w:keepNext/>
              <w:keepLines/>
              <w:spacing w:after="0" w:line="240" w:lineRule="auto"/>
            </w:pPr>
            <w:r>
              <w:rPr>
                <w:sz w:val="18"/>
              </w:rPr>
              <w:t>3214</w:t>
            </w:r>
          </w:p>
        </w:tc>
        <w:tc>
          <w:tcPr>
            <w:tcW w:w="1860" w:type="dxa"/>
            <w:tcMar>
              <w:top w:w="0" w:type="dxa"/>
              <w:bottom w:w="0" w:type="dxa"/>
            </w:tcMar>
            <w:vAlign w:val="center"/>
          </w:tcPr>
          <w:p w14:paraId="221BA72A" w14:textId="77777777" w:rsidR="00110F51" w:rsidRDefault="00000000">
            <w:pPr>
              <w:keepNext/>
              <w:keepLines/>
              <w:spacing w:after="0" w:line="240" w:lineRule="auto"/>
              <w:jc w:val="right"/>
            </w:pPr>
            <w:r>
              <w:rPr>
                <w:sz w:val="18"/>
              </w:rPr>
              <w:t>258,93</w:t>
            </w:r>
          </w:p>
        </w:tc>
        <w:tc>
          <w:tcPr>
            <w:tcW w:w="1860" w:type="dxa"/>
            <w:tcMar>
              <w:top w:w="0" w:type="dxa"/>
              <w:bottom w:w="0" w:type="dxa"/>
            </w:tcMar>
            <w:vAlign w:val="center"/>
          </w:tcPr>
          <w:p w14:paraId="19E8B0B4" w14:textId="77777777" w:rsidR="00110F51" w:rsidRDefault="00000000">
            <w:pPr>
              <w:keepNext/>
              <w:keepLines/>
              <w:spacing w:after="0" w:line="240" w:lineRule="auto"/>
              <w:jc w:val="right"/>
            </w:pPr>
            <w:r>
              <w:rPr>
                <w:sz w:val="18"/>
              </w:rPr>
              <w:t>970,11</w:t>
            </w:r>
          </w:p>
        </w:tc>
        <w:tc>
          <w:tcPr>
            <w:tcW w:w="700" w:type="dxa"/>
            <w:tcMar>
              <w:top w:w="0" w:type="dxa"/>
              <w:bottom w:w="0" w:type="dxa"/>
            </w:tcMar>
            <w:vAlign w:val="center"/>
          </w:tcPr>
          <w:p w14:paraId="0ECFB6F2" w14:textId="77777777" w:rsidR="00110F51" w:rsidRDefault="00000000">
            <w:pPr>
              <w:keepNext/>
              <w:keepLines/>
              <w:spacing w:after="0" w:line="240" w:lineRule="auto"/>
              <w:jc w:val="right"/>
            </w:pPr>
            <w:r>
              <w:rPr>
                <w:sz w:val="18"/>
              </w:rPr>
              <w:t>374,7</w:t>
            </w:r>
          </w:p>
        </w:tc>
      </w:tr>
    </w:tbl>
    <w:p w14:paraId="05008F22" w14:textId="77777777" w:rsidR="00110F51" w:rsidRDefault="00110F51">
      <w:pPr>
        <w:spacing w:after="0"/>
      </w:pPr>
    </w:p>
    <w:p w14:paraId="017FC281" w14:textId="77777777" w:rsidR="00110F51" w:rsidRDefault="00000000">
      <w:r>
        <w:t>Ostale naknade troškova zaposlenima odnose se na naknadu za korištenje privatnog automobila u službene svrhe koja iznosi 970,11 eura i ove je godine veća u odnosu na prošlu radi prijeđene nešto veće udaljenosti automobilom u odnosu na prošlu godinu zbog putovanja za potrebe Moving Balkans projekta, izložbe Glowing Globe, za potrebe Porto Etno festivala te za program Ruksak pun kulture.</w:t>
      </w:r>
    </w:p>
    <w:p w14:paraId="1D55765A" w14:textId="77777777" w:rsidR="00110F51" w:rsidRDefault="00110F51"/>
    <w:p w14:paraId="72AA29F8" w14:textId="77777777" w:rsidR="00110F51"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5F8521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18FB2F"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68DB1F"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AAEBB6"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21687B"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B1F579"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23050A" w14:textId="77777777" w:rsidR="00110F51" w:rsidRDefault="00000000">
            <w:pPr>
              <w:keepNext/>
              <w:keepLines/>
              <w:spacing w:after="0" w:line="240" w:lineRule="auto"/>
              <w:jc w:val="center"/>
            </w:pPr>
            <w:r>
              <w:rPr>
                <w:b/>
                <w:sz w:val="18"/>
              </w:rPr>
              <w:t>Indeks (%)</w:t>
            </w:r>
          </w:p>
        </w:tc>
      </w:tr>
      <w:tr w:rsidR="00110F51" w14:paraId="047AEEB0" w14:textId="77777777">
        <w:tblPrEx>
          <w:tblCellMar>
            <w:top w:w="0" w:type="dxa"/>
            <w:bottom w:w="0" w:type="dxa"/>
          </w:tblCellMar>
        </w:tblPrEx>
        <w:trPr>
          <w:cantSplit/>
          <w:trHeight w:val="560"/>
        </w:trPr>
        <w:tc>
          <w:tcPr>
            <w:tcW w:w="700" w:type="dxa"/>
            <w:tcMar>
              <w:top w:w="0" w:type="dxa"/>
              <w:bottom w:w="0" w:type="dxa"/>
            </w:tcMar>
            <w:vAlign w:val="center"/>
          </w:tcPr>
          <w:p w14:paraId="11652506" w14:textId="77777777" w:rsidR="00110F51" w:rsidRDefault="00000000">
            <w:pPr>
              <w:keepNext/>
              <w:keepLines/>
              <w:spacing w:after="0" w:line="240" w:lineRule="auto"/>
            </w:pPr>
            <w:r>
              <w:rPr>
                <w:sz w:val="18"/>
              </w:rPr>
              <w:t>322</w:t>
            </w:r>
          </w:p>
        </w:tc>
        <w:tc>
          <w:tcPr>
            <w:tcW w:w="3180" w:type="dxa"/>
            <w:tcMar>
              <w:top w:w="0" w:type="dxa"/>
              <w:bottom w:w="0" w:type="dxa"/>
            </w:tcMar>
            <w:vAlign w:val="center"/>
          </w:tcPr>
          <w:p w14:paraId="704A01E3" w14:textId="77777777" w:rsidR="00110F51"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62374FD5" w14:textId="77777777" w:rsidR="00110F51" w:rsidRDefault="00000000">
            <w:pPr>
              <w:keepNext/>
              <w:keepLines/>
              <w:spacing w:after="0" w:line="240" w:lineRule="auto"/>
            </w:pPr>
            <w:r>
              <w:rPr>
                <w:sz w:val="18"/>
              </w:rPr>
              <w:t>322</w:t>
            </w:r>
          </w:p>
        </w:tc>
        <w:tc>
          <w:tcPr>
            <w:tcW w:w="1860" w:type="dxa"/>
            <w:tcMar>
              <w:top w:w="0" w:type="dxa"/>
              <w:bottom w:w="0" w:type="dxa"/>
            </w:tcMar>
            <w:vAlign w:val="center"/>
          </w:tcPr>
          <w:p w14:paraId="7EFE8DA5" w14:textId="77777777" w:rsidR="00110F51" w:rsidRDefault="00000000">
            <w:pPr>
              <w:keepNext/>
              <w:keepLines/>
              <w:spacing w:after="0" w:line="240" w:lineRule="auto"/>
              <w:jc w:val="right"/>
            </w:pPr>
            <w:r>
              <w:rPr>
                <w:sz w:val="18"/>
              </w:rPr>
              <w:t>59.009,67</w:t>
            </w:r>
          </w:p>
        </w:tc>
        <w:tc>
          <w:tcPr>
            <w:tcW w:w="1860" w:type="dxa"/>
            <w:tcMar>
              <w:top w:w="0" w:type="dxa"/>
              <w:bottom w:w="0" w:type="dxa"/>
            </w:tcMar>
            <w:vAlign w:val="center"/>
          </w:tcPr>
          <w:p w14:paraId="068CE908" w14:textId="77777777" w:rsidR="00110F51" w:rsidRDefault="00000000">
            <w:pPr>
              <w:keepNext/>
              <w:keepLines/>
              <w:spacing w:after="0" w:line="240" w:lineRule="auto"/>
              <w:jc w:val="right"/>
            </w:pPr>
            <w:r>
              <w:rPr>
                <w:sz w:val="18"/>
              </w:rPr>
              <w:t>65.370,75</w:t>
            </w:r>
          </w:p>
        </w:tc>
        <w:tc>
          <w:tcPr>
            <w:tcW w:w="700" w:type="dxa"/>
            <w:tcMar>
              <w:top w:w="0" w:type="dxa"/>
              <w:bottom w:w="0" w:type="dxa"/>
            </w:tcMar>
            <w:vAlign w:val="center"/>
          </w:tcPr>
          <w:p w14:paraId="66D49592" w14:textId="77777777" w:rsidR="00110F51" w:rsidRDefault="00000000">
            <w:pPr>
              <w:keepNext/>
              <w:keepLines/>
              <w:spacing w:after="0" w:line="240" w:lineRule="auto"/>
              <w:jc w:val="right"/>
            </w:pPr>
            <w:r>
              <w:rPr>
                <w:sz w:val="18"/>
              </w:rPr>
              <w:t>110,8</w:t>
            </w:r>
          </w:p>
        </w:tc>
      </w:tr>
    </w:tbl>
    <w:p w14:paraId="7B2397F2" w14:textId="77777777" w:rsidR="00110F51" w:rsidRDefault="00110F51">
      <w:pPr>
        <w:spacing w:after="0"/>
      </w:pPr>
    </w:p>
    <w:p w14:paraId="1F892018" w14:textId="77777777" w:rsidR="00110F51" w:rsidRDefault="00000000">
      <w:r>
        <w:t>Rashod za materijal i energiju u 2025. veći su u apsolutnom iznosu za 6.361,08 eura ili za 10,8% u odnosu na isto razdoblje 2024. prvenstveno zbog opremanja prostora za volontere te nabave štednih žarulja i baletnih traka za pozornicu za ustanovu u prvom tromjesečju 2025. godine.</w:t>
      </w:r>
    </w:p>
    <w:p w14:paraId="6AA0F1E3" w14:textId="77777777" w:rsidR="00110F51" w:rsidRDefault="00110F51"/>
    <w:p w14:paraId="3B6C8202" w14:textId="77777777" w:rsidR="00110F51"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2B8298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C459D2"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B6B7FD"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BD3190"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23342E"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95C4DD"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AE51BD" w14:textId="77777777" w:rsidR="00110F51" w:rsidRDefault="00000000">
            <w:pPr>
              <w:keepNext/>
              <w:keepLines/>
              <w:spacing w:after="0" w:line="240" w:lineRule="auto"/>
              <w:jc w:val="center"/>
            </w:pPr>
            <w:r>
              <w:rPr>
                <w:b/>
                <w:sz w:val="18"/>
              </w:rPr>
              <w:t>Indeks (%)</w:t>
            </w:r>
          </w:p>
        </w:tc>
      </w:tr>
      <w:tr w:rsidR="00110F51" w14:paraId="5E29D00E" w14:textId="77777777">
        <w:tblPrEx>
          <w:tblCellMar>
            <w:top w:w="0" w:type="dxa"/>
            <w:bottom w:w="0" w:type="dxa"/>
          </w:tblCellMar>
        </w:tblPrEx>
        <w:trPr>
          <w:cantSplit/>
          <w:trHeight w:val="560"/>
        </w:trPr>
        <w:tc>
          <w:tcPr>
            <w:tcW w:w="700" w:type="dxa"/>
            <w:tcMar>
              <w:top w:w="0" w:type="dxa"/>
              <w:bottom w:w="0" w:type="dxa"/>
            </w:tcMar>
            <w:vAlign w:val="center"/>
          </w:tcPr>
          <w:p w14:paraId="4C1F56FB" w14:textId="77777777" w:rsidR="00110F51" w:rsidRDefault="00000000">
            <w:pPr>
              <w:keepNext/>
              <w:keepLines/>
              <w:spacing w:after="0" w:line="240" w:lineRule="auto"/>
            </w:pPr>
            <w:r>
              <w:rPr>
                <w:sz w:val="18"/>
              </w:rPr>
              <w:t>3221</w:t>
            </w:r>
          </w:p>
        </w:tc>
        <w:tc>
          <w:tcPr>
            <w:tcW w:w="3180" w:type="dxa"/>
            <w:tcMar>
              <w:top w:w="0" w:type="dxa"/>
              <w:bottom w:w="0" w:type="dxa"/>
            </w:tcMar>
            <w:vAlign w:val="center"/>
          </w:tcPr>
          <w:p w14:paraId="6958C7E7" w14:textId="77777777" w:rsidR="00110F51"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0DF9D844" w14:textId="77777777" w:rsidR="00110F51" w:rsidRDefault="00000000">
            <w:pPr>
              <w:keepNext/>
              <w:keepLines/>
              <w:spacing w:after="0" w:line="240" w:lineRule="auto"/>
            </w:pPr>
            <w:r>
              <w:rPr>
                <w:sz w:val="18"/>
              </w:rPr>
              <w:t>3221</w:t>
            </w:r>
          </w:p>
        </w:tc>
        <w:tc>
          <w:tcPr>
            <w:tcW w:w="1860" w:type="dxa"/>
            <w:tcMar>
              <w:top w:w="0" w:type="dxa"/>
              <w:bottom w:w="0" w:type="dxa"/>
            </w:tcMar>
            <w:vAlign w:val="center"/>
          </w:tcPr>
          <w:p w14:paraId="44EA5908" w14:textId="77777777" w:rsidR="00110F51" w:rsidRDefault="00000000">
            <w:pPr>
              <w:keepNext/>
              <w:keepLines/>
              <w:spacing w:after="0" w:line="240" w:lineRule="auto"/>
              <w:jc w:val="right"/>
            </w:pPr>
            <w:r>
              <w:rPr>
                <w:sz w:val="18"/>
              </w:rPr>
              <w:t>9.181,45</w:t>
            </w:r>
          </w:p>
        </w:tc>
        <w:tc>
          <w:tcPr>
            <w:tcW w:w="1860" w:type="dxa"/>
            <w:tcMar>
              <w:top w:w="0" w:type="dxa"/>
              <w:bottom w:w="0" w:type="dxa"/>
            </w:tcMar>
            <w:vAlign w:val="center"/>
          </w:tcPr>
          <w:p w14:paraId="6D6667D0" w14:textId="77777777" w:rsidR="00110F51" w:rsidRDefault="00000000">
            <w:pPr>
              <w:keepNext/>
              <w:keepLines/>
              <w:spacing w:after="0" w:line="240" w:lineRule="auto"/>
              <w:jc w:val="right"/>
            </w:pPr>
            <w:r>
              <w:rPr>
                <w:sz w:val="18"/>
              </w:rPr>
              <w:t>9.955,74</w:t>
            </w:r>
          </w:p>
        </w:tc>
        <w:tc>
          <w:tcPr>
            <w:tcW w:w="700" w:type="dxa"/>
            <w:tcMar>
              <w:top w:w="0" w:type="dxa"/>
              <w:bottom w:w="0" w:type="dxa"/>
            </w:tcMar>
            <w:vAlign w:val="center"/>
          </w:tcPr>
          <w:p w14:paraId="0CA98396" w14:textId="77777777" w:rsidR="00110F51" w:rsidRDefault="00000000">
            <w:pPr>
              <w:keepNext/>
              <w:keepLines/>
              <w:spacing w:after="0" w:line="240" w:lineRule="auto"/>
              <w:jc w:val="right"/>
            </w:pPr>
            <w:r>
              <w:rPr>
                <w:sz w:val="18"/>
              </w:rPr>
              <w:t>108,4</w:t>
            </w:r>
          </w:p>
        </w:tc>
      </w:tr>
    </w:tbl>
    <w:p w14:paraId="051F9CA1" w14:textId="77777777" w:rsidR="00110F51" w:rsidRDefault="00110F51">
      <w:pPr>
        <w:spacing w:after="0"/>
      </w:pPr>
    </w:p>
    <w:p w14:paraId="28C8836A" w14:textId="77777777" w:rsidR="00110F51" w:rsidRDefault="00000000">
      <w:r>
        <w:t>Rashod uredskog materijala i ostali materijalni rashodi u 2025. su u apsolutnom iznosu za 774,29 eura veći ili za 8,4% u odnosu na 2024. prvenstveno zbog opremanja prostora za volontere te nabave štednih žarulja za ustanovu u prvom tromjesečju 2025. godine.</w:t>
      </w:r>
    </w:p>
    <w:p w14:paraId="2F663274" w14:textId="77777777" w:rsidR="00110F51" w:rsidRDefault="00110F51"/>
    <w:p w14:paraId="7EAA67C6" w14:textId="77777777" w:rsidR="00110F51"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24C05C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5C1CC0"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C7DB79"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3B961D"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FA9267"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CF5848"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7A73FB" w14:textId="77777777" w:rsidR="00110F51" w:rsidRDefault="00000000">
            <w:pPr>
              <w:keepNext/>
              <w:keepLines/>
              <w:spacing w:after="0" w:line="240" w:lineRule="auto"/>
              <w:jc w:val="center"/>
            </w:pPr>
            <w:r>
              <w:rPr>
                <w:b/>
                <w:sz w:val="18"/>
              </w:rPr>
              <w:t>Indeks (%)</w:t>
            </w:r>
          </w:p>
        </w:tc>
      </w:tr>
      <w:tr w:rsidR="00110F51" w14:paraId="5E29DE01" w14:textId="77777777">
        <w:tblPrEx>
          <w:tblCellMar>
            <w:top w:w="0" w:type="dxa"/>
            <w:bottom w:w="0" w:type="dxa"/>
          </w:tblCellMar>
        </w:tblPrEx>
        <w:trPr>
          <w:cantSplit/>
          <w:trHeight w:val="560"/>
        </w:trPr>
        <w:tc>
          <w:tcPr>
            <w:tcW w:w="700" w:type="dxa"/>
            <w:tcMar>
              <w:top w:w="0" w:type="dxa"/>
              <w:bottom w:w="0" w:type="dxa"/>
            </w:tcMar>
            <w:vAlign w:val="center"/>
          </w:tcPr>
          <w:p w14:paraId="02A4697B" w14:textId="77777777" w:rsidR="00110F51" w:rsidRDefault="00000000">
            <w:pPr>
              <w:keepNext/>
              <w:keepLines/>
              <w:spacing w:after="0" w:line="240" w:lineRule="auto"/>
            </w:pPr>
            <w:r>
              <w:rPr>
                <w:sz w:val="18"/>
              </w:rPr>
              <w:t>3223</w:t>
            </w:r>
          </w:p>
        </w:tc>
        <w:tc>
          <w:tcPr>
            <w:tcW w:w="3180" w:type="dxa"/>
            <w:tcMar>
              <w:top w:w="0" w:type="dxa"/>
              <w:bottom w:w="0" w:type="dxa"/>
            </w:tcMar>
            <w:vAlign w:val="center"/>
          </w:tcPr>
          <w:p w14:paraId="786F334D" w14:textId="77777777" w:rsidR="00110F51" w:rsidRDefault="00000000">
            <w:pPr>
              <w:keepNext/>
              <w:keepLines/>
              <w:spacing w:after="0" w:line="240" w:lineRule="auto"/>
            </w:pPr>
            <w:r>
              <w:rPr>
                <w:sz w:val="18"/>
              </w:rPr>
              <w:t>Energija</w:t>
            </w:r>
          </w:p>
        </w:tc>
        <w:tc>
          <w:tcPr>
            <w:tcW w:w="700" w:type="dxa"/>
            <w:tcMar>
              <w:top w:w="0" w:type="dxa"/>
              <w:bottom w:w="0" w:type="dxa"/>
            </w:tcMar>
            <w:vAlign w:val="center"/>
          </w:tcPr>
          <w:p w14:paraId="5D1003D7" w14:textId="77777777" w:rsidR="00110F51" w:rsidRDefault="00000000">
            <w:pPr>
              <w:keepNext/>
              <w:keepLines/>
              <w:spacing w:after="0" w:line="240" w:lineRule="auto"/>
            </w:pPr>
            <w:r>
              <w:rPr>
                <w:sz w:val="18"/>
              </w:rPr>
              <w:t>3223</w:t>
            </w:r>
          </w:p>
        </w:tc>
        <w:tc>
          <w:tcPr>
            <w:tcW w:w="1860" w:type="dxa"/>
            <w:tcMar>
              <w:top w:w="0" w:type="dxa"/>
              <w:bottom w:w="0" w:type="dxa"/>
            </w:tcMar>
            <w:vAlign w:val="center"/>
          </w:tcPr>
          <w:p w14:paraId="4A702B0B" w14:textId="77777777" w:rsidR="00110F51" w:rsidRDefault="00000000">
            <w:pPr>
              <w:keepNext/>
              <w:keepLines/>
              <w:spacing w:after="0" w:line="240" w:lineRule="auto"/>
              <w:jc w:val="right"/>
            </w:pPr>
            <w:r>
              <w:rPr>
                <w:sz w:val="18"/>
              </w:rPr>
              <w:t>46.958,63</w:t>
            </w:r>
          </w:p>
        </w:tc>
        <w:tc>
          <w:tcPr>
            <w:tcW w:w="1860" w:type="dxa"/>
            <w:tcMar>
              <w:top w:w="0" w:type="dxa"/>
              <w:bottom w:w="0" w:type="dxa"/>
            </w:tcMar>
            <w:vAlign w:val="center"/>
          </w:tcPr>
          <w:p w14:paraId="4C3019F7" w14:textId="77777777" w:rsidR="00110F51" w:rsidRDefault="00000000">
            <w:pPr>
              <w:keepNext/>
              <w:keepLines/>
              <w:spacing w:after="0" w:line="240" w:lineRule="auto"/>
              <w:jc w:val="right"/>
            </w:pPr>
            <w:r>
              <w:rPr>
                <w:sz w:val="18"/>
              </w:rPr>
              <w:t>51.382,79</w:t>
            </w:r>
          </w:p>
        </w:tc>
        <w:tc>
          <w:tcPr>
            <w:tcW w:w="700" w:type="dxa"/>
            <w:tcMar>
              <w:top w:w="0" w:type="dxa"/>
              <w:bottom w:w="0" w:type="dxa"/>
            </w:tcMar>
            <w:vAlign w:val="center"/>
          </w:tcPr>
          <w:p w14:paraId="6C60F1D1" w14:textId="77777777" w:rsidR="00110F51" w:rsidRDefault="00000000">
            <w:pPr>
              <w:keepNext/>
              <w:keepLines/>
              <w:spacing w:after="0" w:line="240" w:lineRule="auto"/>
              <w:jc w:val="right"/>
            </w:pPr>
            <w:r>
              <w:rPr>
                <w:sz w:val="18"/>
              </w:rPr>
              <w:t>109,4</w:t>
            </w:r>
          </w:p>
        </w:tc>
      </w:tr>
    </w:tbl>
    <w:p w14:paraId="0736A89B" w14:textId="77777777" w:rsidR="00110F51" w:rsidRDefault="00110F51">
      <w:pPr>
        <w:spacing w:after="0"/>
      </w:pPr>
    </w:p>
    <w:p w14:paraId="56EEE66C" w14:textId="77777777" w:rsidR="00110F51" w:rsidRDefault="00000000">
      <w:r>
        <w:t>Rashod energije je u 2025. za 9,4% veći zbog nešto više tarife i većeg obujma programskih aktivnosti ustanove u odnosu na 2024. godinu.</w:t>
      </w:r>
    </w:p>
    <w:p w14:paraId="260AAC35" w14:textId="77777777" w:rsidR="00110F51" w:rsidRDefault="00110F51"/>
    <w:p w14:paraId="027D211C" w14:textId="77777777" w:rsidR="00110F51"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5444A2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6BD6F6"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226027"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CF9F44"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1DF183"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C6E12A"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B8F966" w14:textId="77777777" w:rsidR="00110F51" w:rsidRDefault="00000000">
            <w:pPr>
              <w:keepNext/>
              <w:keepLines/>
              <w:spacing w:after="0" w:line="240" w:lineRule="auto"/>
              <w:jc w:val="center"/>
            </w:pPr>
            <w:r>
              <w:rPr>
                <w:b/>
                <w:sz w:val="18"/>
              </w:rPr>
              <w:t>Indeks (%)</w:t>
            </w:r>
          </w:p>
        </w:tc>
      </w:tr>
      <w:tr w:rsidR="00110F51" w14:paraId="4522A37A" w14:textId="77777777">
        <w:tblPrEx>
          <w:tblCellMar>
            <w:top w:w="0" w:type="dxa"/>
            <w:bottom w:w="0" w:type="dxa"/>
          </w:tblCellMar>
        </w:tblPrEx>
        <w:trPr>
          <w:cantSplit/>
          <w:trHeight w:val="560"/>
        </w:trPr>
        <w:tc>
          <w:tcPr>
            <w:tcW w:w="700" w:type="dxa"/>
            <w:tcMar>
              <w:top w:w="0" w:type="dxa"/>
              <w:bottom w:w="0" w:type="dxa"/>
            </w:tcMar>
            <w:vAlign w:val="center"/>
          </w:tcPr>
          <w:p w14:paraId="6821EB50" w14:textId="77777777" w:rsidR="00110F51" w:rsidRDefault="00000000">
            <w:pPr>
              <w:keepNext/>
              <w:keepLines/>
              <w:spacing w:after="0" w:line="240" w:lineRule="auto"/>
            </w:pPr>
            <w:r>
              <w:rPr>
                <w:sz w:val="18"/>
              </w:rPr>
              <w:t>3233</w:t>
            </w:r>
          </w:p>
        </w:tc>
        <w:tc>
          <w:tcPr>
            <w:tcW w:w="3180" w:type="dxa"/>
            <w:tcMar>
              <w:top w:w="0" w:type="dxa"/>
              <w:bottom w:w="0" w:type="dxa"/>
            </w:tcMar>
            <w:vAlign w:val="center"/>
          </w:tcPr>
          <w:p w14:paraId="784D50CC" w14:textId="77777777" w:rsidR="00110F51"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4921A229" w14:textId="77777777" w:rsidR="00110F51" w:rsidRDefault="00000000">
            <w:pPr>
              <w:keepNext/>
              <w:keepLines/>
              <w:spacing w:after="0" w:line="240" w:lineRule="auto"/>
            </w:pPr>
            <w:r>
              <w:rPr>
                <w:sz w:val="18"/>
              </w:rPr>
              <w:t>3233</w:t>
            </w:r>
          </w:p>
        </w:tc>
        <w:tc>
          <w:tcPr>
            <w:tcW w:w="1860" w:type="dxa"/>
            <w:tcMar>
              <w:top w:w="0" w:type="dxa"/>
              <w:bottom w:w="0" w:type="dxa"/>
            </w:tcMar>
            <w:vAlign w:val="center"/>
          </w:tcPr>
          <w:p w14:paraId="2A56E912" w14:textId="77777777" w:rsidR="00110F51" w:rsidRDefault="00000000">
            <w:pPr>
              <w:keepNext/>
              <w:keepLines/>
              <w:spacing w:after="0" w:line="240" w:lineRule="auto"/>
              <w:jc w:val="right"/>
            </w:pPr>
            <w:r>
              <w:rPr>
                <w:sz w:val="18"/>
              </w:rPr>
              <w:t>13.664,59</w:t>
            </w:r>
          </w:p>
        </w:tc>
        <w:tc>
          <w:tcPr>
            <w:tcW w:w="1860" w:type="dxa"/>
            <w:tcMar>
              <w:top w:w="0" w:type="dxa"/>
              <w:bottom w:w="0" w:type="dxa"/>
            </w:tcMar>
            <w:vAlign w:val="center"/>
          </w:tcPr>
          <w:p w14:paraId="633819C6" w14:textId="77777777" w:rsidR="00110F51" w:rsidRDefault="00000000">
            <w:pPr>
              <w:keepNext/>
              <w:keepLines/>
              <w:spacing w:after="0" w:line="240" w:lineRule="auto"/>
              <w:jc w:val="right"/>
            </w:pPr>
            <w:r>
              <w:rPr>
                <w:sz w:val="18"/>
              </w:rPr>
              <w:t>18.030,57</w:t>
            </w:r>
          </w:p>
        </w:tc>
        <w:tc>
          <w:tcPr>
            <w:tcW w:w="700" w:type="dxa"/>
            <w:tcMar>
              <w:top w:w="0" w:type="dxa"/>
              <w:bottom w:w="0" w:type="dxa"/>
            </w:tcMar>
            <w:vAlign w:val="center"/>
          </w:tcPr>
          <w:p w14:paraId="7A41B0A5" w14:textId="77777777" w:rsidR="00110F51" w:rsidRDefault="00000000">
            <w:pPr>
              <w:keepNext/>
              <w:keepLines/>
              <w:spacing w:after="0" w:line="240" w:lineRule="auto"/>
              <w:jc w:val="right"/>
            </w:pPr>
            <w:r>
              <w:rPr>
                <w:sz w:val="18"/>
              </w:rPr>
              <w:t>132,0</w:t>
            </w:r>
          </w:p>
        </w:tc>
      </w:tr>
    </w:tbl>
    <w:p w14:paraId="5CE64AC6" w14:textId="77777777" w:rsidR="00110F51" w:rsidRDefault="00110F51">
      <w:pPr>
        <w:spacing w:after="0"/>
      </w:pPr>
    </w:p>
    <w:p w14:paraId="09CF6467" w14:textId="77777777" w:rsidR="00110F51" w:rsidRDefault="00000000">
      <w:r>
        <w:t>Usluge promidžbe i informiranja su za 32,0% veće nego u 2024. zbog većeg obujma programskih aktivnosti ustanove u odnosu na 2024. te većih rashoda vezanih uz oglašavanje i promoviranje programa na Facebook stranici.</w:t>
      </w:r>
    </w:p>
    <w:p w14:paraId="744B680E" w14:textId="77777777" w:rsidR="00110F51" w:rsidRDefault="00110F51"/>
    <w:p w14:paraId="0BE3DA79" w14:textId="77777777" w:rsidR="00110F51"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769506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411153"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426DED"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7FEF99"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177388"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B81606"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31DA6B" w14:textId="77777777" w:rsidR="00110F51" w:rsidRDefault="00000000">
            <w:pPr>
              <w:keepNext/>
              <w:keepLines/>
              <w:spacing w:after="0" w:line="240" w:lineRule="auto"/>
              <w:jc w:val="center"/>
            </w:pPr>
            <w:r>
              <w:rPr>
                <w:b/>
                <w:sz w:val="18"/>
              </w:rPr>
              <w:t>Indeks (%)</w:t>
            </w:r>
          </w:p>
        </w:tc>
      </w:tr>
      <w:tr w:rsidR="00110F51" w14:paraId="60ECC9F2" w14:textId="77777777">
        <w:tblPrEx>
          <w:tblCellMar>
            <w:top w:w="0" w:type="dxa"/>
            <w:bottom w:w="0" w:type="dxa"/>
          </w:tblCellMar>
        </w:tblPrEx>
        <w:trPr>
          <w:cantSplit/>
          <w:trHeight w:val="560"/>
        </w:trPr>
        <w:tc>
          <w:tcPr>
            <w:tcW w:w="700" w:type="dxa"/>
            <w:tcMar>
              <w:top w:w="0" w:type="dxa"/>
              <w:bottom w:w="0" w:type="dxa"/>
            </w:tcMar>
            <w:vAlign w:val="center"/>
          </w:tcPr>
          <w:p w14:paraId="4E26345C" w14:textId="77777777" w:rsidR="00110F51" w:rsidRDefault="00000000">
            <w:pPr>
              <w:keepNext/>
              <w:keepLines/>
              <w:spacing w:after="0" w:line="240" w:lineRule="auto"/>
            </w:pPr>
            <w:r>
              <w:rPr>
                <w:sz w:val="18"/>
              </w:rPr>
              <w:t>3235</w:t>
            </w:r>
          </w:p>
        </w:tc>
        <w:tc>
          <w:tcPr>
            <w:tcW w:w="3180" w:type="dxa"/>
            <w:tcMar>
              <w:top w:w="0" w:type="dxa"/>
              <w:bottom w:w="0" w:type="dxa"/>
            </w:tcMar>
            <w:vAlign w:val="center"/>
          </w:tcPr>
          <w:p w14:paraId="2AB3968C" w14:textId="77777777" w:rsidR="00110F51" w:rsidRDefault="00000000">
            <w:pPr>
              <w:keepNext/>
              <w:keepLines/>
              <w:spacing w:after="0" w:line="240" w:lineRule="auto"/>
            </w:pPr>
            <w:r>
              <w:rPr>
                <w:sz w:val="18"/>
              </w:rPr>
              <w:t>Zakupnine i najamnine</w:t>
            </w:r>
          </w:p>
        </w:tc>
        <w:tc>
          <w:tcPr>
            <w:tcW w:w="700" w:type="dxa"/>
            <w:tcMar>
              <w:top w:w="0" w:type="dxa"/>
              <w:bottom w:w="0" w:type="dxa"/>
            </w:tcMar>
            <w:vAlign w:val="center"/>
          </w:tcPr>
          <w:p w14:paraId="46A34CA1" w14:textId="77777777" w:rsidR="00110F51" w:rsidRDefault="00000000">
            <w:pPr>
              <w:keepNext/>
              <w:keepLines/>
              <w:spacing w:after="0" w:line="240" w:lineRule="auto"/>
            </w:pPr>
            <w:r>
              <w:rPr>
                <w:sz w:val="18"/>
              </w:rPr>
              <w:t>3235</w:t>
            </w:r>
          </w:p>
        </w:tc>
        <w:tc>
          <w:tcPr>
            <w:tcW w:w="1860" w:type="dxa"/>
            <w:tcMar>
              <w:top w:w="0" w:type="dxa"/>
              <w:bottom w:w="0" w:type="dxa"/>
            </w:tcMar>
            <w:vAlign w:val="center"/>
          </w:tcPr>
          <w:p w14:paraId="01BF992E" w14:textId="77777777" w:rsidR="00110F51" w:rsidRDefault="00000000">
            <w:pPr>
              <w:keepNext/>
              <w:keepLines/>
              <w:spacing w:after="0" w:line="240" w:lineRule="auto"/>
              <w:jc w:val="right"/>
            </w:pPr>
            <w:r>
              <w:rPr>
                <w:sz w:val="18"/>
              </w:rPr>
              <w:t>9.855,72</w:t>
            </w:r>
          </w:p>
        </w:tc>
        <w:tc>
          <w:tcPr>
            <w:tcW w:w="1860" w:type="dxa"/>
            <w:tcMar>
              <w:top w:w="0" w:type="dxa"/>
              <w:bottom w:w="0" w:type="dxa"/>
            </w:tcMar>
            <w:vAlign w:val="center"/>
          </w:tcPr>
          <w:p w14:paraId="2E642146" w14:textId="77777777" w:rsidR="00110F51" w:rsidRDefault="00000000">
            <w:pPr>
              <w:keepNext/>
              <w:keepLines/>
              <w:spacing w:after="0" w:line="240" w:lineRule="auto"/>
              <w:jc w:val="right"/>
            </w:pPr>
            <w:r>
              <w:rPr>
                <w:sz w:val="18"/>
              </w:rPr>
              <w:t>21.112,40</w:t>
            </w:r>
          </w:p>
        </w:tc>
        <w:tc>
          <w:tcPr>
            <w:tcW w:w="700" w:type="dxa"/>
            <w:tcMar>
              <w:top w:w="0" w:type="dxa"/>
              <w:bottom w:w="0" w:type="dxa"/>
            </w:tcMar>
            <w:vAlign w:val="center"/>
          </w:tcPr>
          <w:p w14:paraId="525D50AC" w14:textId="77777777" w:rsidR="00110F51" w:rsidRDefault="00000000">
            <w:pPr>
              <w:keepNext/>
              <w:keepLines/>
              <w:spacing w:after="0" w:line="240" w:lineRule="auto"/>
              <w:jc w:val="right"/>
            </w:pPr>
            <w:r>
              <w:rPr>
                <w:sz w:val="18"/>
              </w:rPr>
              <w:t>214,2</w:t>
            </w:r>
          </w:p>
        </w:tc>
      </w:tr>
    </w:tbl>
    <w:p w14:paraId="770C4597" w14:textId="77777777" w:rsidR="00110F51" w:rsidRDefault="00110F51">
      <w:pPr>
        <w:spacing w:after="0"/>
      </w:pPr>
    </w:p>
    <w:p w14:paraId="2CD6BBA6" w14:textId="77777777" w:rsidR="00110F51" w:rsidRDefault="00000000">
      <w:r>
        <w:t>Zakupnine i najamnine su veće za 114,2% u odnosu na 2024. što je u apsolutnom iznosu 11.256,68 eura više zbog potrebe najma opreme za četiri održana koncerta u 2025. i povećane potrebe najma opreme za festivale Port of dance i Porto Etno.</w:t>
      </w:r>
    </w:p>
    <w:p w14:paraId="44E9AAA4" w14:textId="77777777" w:rsidR="00110F51" w:rsidRDefault="00110F51"/>
    <w:p w14:paraId="53443F87" w14:textId="77777777" w:rsidR="00110F51"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1BD450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45F1BC"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57B561"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D61C4A"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07F263"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EA9FF3"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06FAE6" w14:textId="77777777" w:rsidR="00110F51" w:rsidRDefault="00000000">
            <w:pPr>
              <w:keepNext/>
              <w:keepLines/>
              <w:spacing w:after="0" w:line="240" w:lineRule="auto"/>
              <w:jc w:val="center"/>
            </w:pPr>
            <w:r>
              <w:rPr>
                <w:b/>
                <w:sz w:val="18"/>
              </w:rPr>
              <w:t>Indeks (%)</w:t>
            </w:r>
          </w:p>
        </w:tc>
      </w:tr>
      <w:tr w:rsidR="00110F51" w14:paraId="0CD6DD59" w14:textId="77777777">
        <w:tblPrEx>
          <w:tblCellMar>
            <w:top w:w="0" w:type="dxa"/>
            <w:bottom w:w="0" w:type="dxa"/>
          </w:tblCellMar>
        </w:tblPrEx>
        <w:trPr>
          <w:cantSplit/>
          <w:trHeight w:val="560"/>
        </w:trPr>
        <w:tc>
          <w:tcPr>
            <w:tcW w:w="700" w:type="dxa"/>
            <w:tcMar>
              <w:top w:w="0" w:type="dxa"/>
              <w:bottom w:w="0" w:type="dxa"/>
            </w:tcMar>
            <w:vAlign w:val="center"/>
          </w:tcPr>
          <w:p w14:paraId="3B26DD53" w14:textId="77777777" w:rsidR="00110F51" w:rsidRDefault="00000000">
            <w:pPr>
              <w:keepNext/>
              <w:keepLines/>
              <w:spacing w:after="0" w:line="240" w:lineRule="auto"/>
            </w:pPr>
            <w:r>
              <w:rPr>
                <w:sz w:val="18"/>
              </w:rPr>
              <w:t>3237</w:t>
            </w:r>
          </w:p>
        </w:tc>
        <w:tc>
          <w:tcPr>
            <w:tcW w:w="3180" w:type="dxa"/>
            <w:tcMar>
              <w:top w:w="0" w:type="dxa"/>
              <w:bottom w:w="0" w:type="dxa"/>
            </w:tcMar>
            <w:vAlign w:val="center"/>
          </w:tcPr>
          <w:p w14:paraId="5D059E01" w14:textId="77777777" w:rsidR="00110F51"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3B8B78EF" w14:textId="77777777" w:rsidR="00110F51" w:rsidRDefault="00000000">
            <w:pPr>
              <w:keepNext/>
              <w:keepLines/>
              <w:spacing w:after="0" w:line="240" w:lineRule="auto"/>
            </w:pPr>
            <w:r>
              <w:rPr>
                <w:sz w:val="18"/>
              </w:rPr>
              <w:t>3237</w:t>
            </w:r>
          </w:p>
        </w:tc>
        <w:tc>
          <w:tcPr>
            <w:tcW w:w="1860" w:type="dxa"/>
            <w:tcMar>
              <w:top w:w="0" w:type="dxa"/>
              <w:bottom w:w="0" w:type="dxa"/>
            </w:tcMar>
            <w:vAlign w:val="center"/>
          </w:tcPr>
          <w:p w14:paraId="70AB4A3A" w14:textId="77777777" w:rsidR="00110F51" w:rsidRDefault="00000000">
            <w:pPr>
              <w:keepNext/>
              <w:keepLines/>
              <w:spacing w:after="0" w:line="240" w:lineRule="auto"/>
              <w:jc w:val="right"/>
            </w:pPr>
            <w:r>
              <w:rPr>
                <w:sz w:val="18"/>
              </w:rPr>
              <w:t>168.945,20</w:t>
            </w:r>
          </w:p>
        </w:tc>
        <w:tc>
          <w:tcPr>
            <w:tcW w:w="1860" w:type="dxa"/>
            <w:tcMar>
              <w:top w:w="0" w:type="dxa"/>
              <w:bottom w:w="0" w:type="dxa"/>
            </w:tcMar>
            <w:vAlign w:val="center"/>
          </w:tcPr>
          <w:p w14:paraId="764B985D" w14:textId="77777777" w:rsidR="00110F51" w:rsidRDefault="00000000">
            <w:pPr>
              <w:keepNext/>
              <w:keepLines/>
              <w:spacing w:after="0" w:line="240" w:lineRule="auto"/>
              <w:jc w:val="right"/>
            </w:pPr>
            <w:r>
              <w:rPr>
                <w:sz w:val="18"/>
              </w:rPr>
              <w:t>148.179,60</w:t>
            </w:r>
          </w:p>
        </w:tc>
        <w:tc>
          <w:tcPr>
            <w:tcW w:w="700" w:type="dxa"/>
            <w:tcMar>
              <w:top w:w="0" w:type="dxa"/>
              <w:bottom w:w="0" w:type="dxa"/>
            </w:tcMar>
            <w:vAlign w:val="center"/>
          </w:tcPr>
          <w:p w14:paraId="4D212D62" w14:textId="77777777" w:rsidR="00110F51" w:rsidRDefault="00000000">
            <w:pPr>
              <w:keepNext/>
              <w:keepLines/>
              <w:spacing w:after="0" w:line="240" w:lineRule="auto"/>
              <w:jc w:val="right"/>
            </w:pPr>
            <w:r>
              <w:rPr>
                <w:sz w:val="18"/>
              </w:rPr>
              <w:t>87,7</w:t>
            </w:r>
          </w:p>
        </w:tc>
      </w:tr>
    </w:tbl>
    <w:p w14:paraId="29F66385" w14:textId="77777777" w:rsidR="00110F51" w:rsidRDefault="00110F51">
      <w:pPr>
        <w:spacing w:after="0"/>
      </w:pPr>
    </w:p>
    <w:p w14:paraId="6C54A407" w14:textId="77777777" w:rsidR="00110F51" w:rsidRDefault="00000000">
      <w:r>
        <w:t>Rashodi za intelektualne usluge odnose se na troškove izvedbi programa i autorske honorare i niži su za 12,3% u odnosu na 2024. godinu zbog niže realizacije tih rashoda za festival Port of dance.</w:t>
      </w:r>
    </w:p>
    <w:p w14:paraId="0625A206" w14:textId="77777777" w:rsidR="00110F51" w:rsidRDefault="00110F51"/>
    <w:p w14:paraId="6CC56EDC" w14:textId="77777777" w:rsidR="00110F51"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4455A4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3ACDFA"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FCEAEE"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CD70B9"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6A2EE5"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95B7D2"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B9C8B4" w14:textId="77777777" w:rsidR="00110F51" w:rsidRDefault="00000000">
            <w:pPr>
              <w:keepNext/>
              <w:keepLines/>
              <w:spacing w:after="0" w:line="240" w:lineRule="auto"/>
              <w:jc w:val="center"/>
            </w:pPr>
            <w:r>
              <w:rPr>
                <w:b/>
                <w:sz w:val="18"/>
              </w:rPr>
              <w:t>Indeks (%)</w:t>
            </w:r>
          </w:p>
        </w:tc>
      </w:tr>
      <w:tr w:rsidR="00110F51" w14:paraId="0F1D6844" w14:textId="77777777">
        <w:tblPrEx>
          <w:tblCellMar>
            <w:top w:w="0" w:type="dxa"/>
            <w:bottom w:w="0" w:type="dxa"/>
          </w:tblCellMar>
        </w:tblPrEx>
        <w:trPr>
          <w:cantSplit/>
          <w:trHeight w:val="560"/>
        </w:trPr>
        <w:tc>
          <w:tcPr>
            <w:tcW w:w="700" w:type="dxa"/>
            <w:tcMar>
              <w:top w:w="0" w:type="dxa"/>
              <w:bottom w:w="0" w:type="dxa"/>
            </w:tcMar>
            <w:vAlign w:val="center"/>
          </w:tcPr>
          <w:p w14:paraId="248C9150" w14:textId="77777777" w:rsidR="00110F51" w:rsidRDefault="00000000">
            <w:pPr>
              <w:keepNext/>
              <w:keepLines/>
              <w:spacing w:after="0" w:line="240" w:lineRule="auto"/>
            </w:pPr>
            <w:r>
              <w:rPr>
                <w:sz w:val="18"/>
              </w:rPr>
              <w:t>3239</w:t>
            </w:r>
          </w:p>
        </w:tc>
        <w:tc>
          <w:tcPr>
            <w:tcW w:w="3180" w:type="dxa"/>
            <w:tcMar>
              <w:top w:w="0" w:type="dxa"/>
              <w:bottom w:w="0" w:type="dxa"/>
            </w:tcMar>
            <w:vAlign w:val="center"/>
          </w:tcPr>
          <w:p w14:paraId="3FAF6927" w14:textId="77777777" w:rsidR="00110F51" w:rsidRDefault="00000000">
            <w:pPr>
              <w:keepNext/>
              <w:keepLines/>
              <w:spacing w:after="0" w:line="240" w:lineRule="auto"/>
            </w:pPr>
            <w:r>
              <w:rPr>
                <w:sz w:val="18"/>
              </w:rPr>
              <w:t>Ostale usluge</w:t>
            </w:r>
          </w:p>
        </w:tc>
        <w:tc>
          <w:tcPr>
            <w:tcW w:w="700" w:type="dxa"/>
            <w:tcMar>
              <w:top w:w="0" w:type="dxa"/>
              <w:bottom w:w="0" w:type="dxa"/>
            </w:tcMar>
            <w:vAlign w:val="center"/>
          </w:tcPr>
          <w:p w14:paraId="4761D4C2" w14:textId="77777777" w:rsidR="00110F51" w:rsidRDefault="00000000">
            <w:pPr>
              <w:keepNext/>
              <w:keepLines/>
              <w:spacing w:after="0" w:line="240" w:lineRule="auto"/>
            </w:pPr>
            <w:r>
              <w:rPr>
                <w:sz w:val="18"/>
              </w:rPr>
              <w:t>3239</w:t>
            </w:r>
          </w:p>
        </w:tc>
        <w:tc>
          <w:tcPr>
            <w:tcW w:w="1860" w:type="dxa"/>
            <w:tcMar>
              <w:top w:w="0" w:type="dxa"/>
              <w:bottom w:w="0" w:type="dxa"/>
            </w:tcMar>
            <w:vAlign w:val="center"/>
          </w:tcPr>
          <w:p w14:paraId="0F2BFD48" w14:textId="77777777" w:rsidR="00110F51" w:rsidRDefault="00000000">
            <w:pPr>
              <w:keepNext/>
              <w:keepLines/>
              <w:spacing w:after="0" w:line="240" w:lineRule="auto"/>
              <w:jc w:val="right"/>
            </w:pPr>
            <w:r>
              <w:rPr>
                <w:sz w:val="18"/>
              </w:rPr>
              <w:t>27.817,72</w:t>
            </w:r>
          </w:p>
        </w:tc>
        <w:tc>
          <w:tcPr>
            <w:tcW w:w="1860" w:type="dxa"/>
            <w:tcMar>
              <w:top w:w="0" w:type="dxa"/>
              <w:bottom w:w="0" w:type="dxa"/>
            </w:tcMar>
            <w:vAlign w:val="center"/>
          </w:tcPr>
          <w:p w14:paraId="25A06EBA" w14:textId="77777777" w:rsidR="00110F51" w:rsidRDefault="00000000">
            <w:pPr>
              <w:keepNext/>
              <w:keepLines/>
              <w:spacing w:after="0" w:line="240" w:lineRule="auto"/>
              <w:jc w:val="right"/>
            </w:pPr>
            <w:r>
              <w:rPr>
                <w:sz w:val="18"/>
              </w:rPr>
              <w:t>34.958,21</w:t>
            </w:r>
          </w:p>
        </w:tc>
        <w:tc>
          <w:tcPr>
            <w:tcW w:w="700" w:type="dxa"/>
            <w:tcMar>
              <w:top w:w="0" w:type="dxa"/>
              <w:bottom w:w="0" w:type="dxa"/>
            </w:tcMar>
            <w:vAlign w:val="center"/>
          </w:tcPr>
          <w:p w14:paraId="16C4988F" w14:textId="77777777" w:rsidR="00110F51" w:rsidRDefault="00000000">
            <w:pPr>
              <w:keepNext/>
              <w:keepLines/>
              <w:spacing w:after="0" w:line="240" w:lineRule="auto"/>
              <w:jc w:val="right"/>
            </w:pPr>
            <w:r>
              <w:rPr>
                <w:sz w:val="18"/>
              </w:rPr>
              <w:t>125,7</w:t>
            </w:r>
          </w:p>
        </w:tc>
      </w:tr>
    </w:tbl>
    <w:p w14:paraId="7635A2A9" w14:textId="77777777" w:rsidR="00110F51" w:rsidRDefault="00110F51">
      <w:pPr>
        <w:spacing w:after="0"/>
      </w:pPr>
    </w:p>
    <w:p w14:paraId="02AE22D0" w14:textId="77777777" w:rsidR="00110F51" w:rsidRDefault="00000000">
      <w:r>
        <w:t>Rashodi za ostale usluge su u 2025. godini za 25,7% viši u odnosu na 2024. godinu zbog većih rashoda za usluge tehničke produkcije za Porto Etno festival te usluga razglasa i rasvjete za predstavu Četiri vjenčanja i sprovod u 2025. godini.</w:t>
      </w:r>
    </w:p>
    <w:p w14:paraId="6D7A2AF3" w14:textId="77777777" w:rsidR="00110F51" w:rsidRDefault="00110F51"/>
    <w:p w14:paraId="02CE9EA0" w14:textId="77777777" w:rsidR="00110F51"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1623C7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A80B5C"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C89AD9"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E939D2"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5BEF9A"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03B745"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9AA11E" w14:textId="77777777" w:rsidR="00110F51" w:rsidRDefault="00000000">
            <w:pPr>
              <w:keepNext/>
              <w:keepLines/>
              <w:spacing w:after="0" w:line="240" w:lineRule="auto"/>
              <w:jc w:val="center"/>
            </w:pPr>
            <w:r>
              <w:rPr>
                <w:b/>
                <w:sz w:val="18"/>
              </w:rPr>
              <w:t>Indeks (%)</w:t>
            </w:r>
          </w:p>
        </w:tc>
      </w:tr>
      <w:tr w:rsidR="00110F51" w14:paraId="760FAEB8" w14:textId="77777777">
        <w:tblPrEx>
          <w:tblCellMar>
            <w:top w:w="0" w:type="dxa"/>
            <w:bottom w:w="0" w:type="dxa"/>
          </w:tblCellMar>
        </w:tblPrEx>
        <w:trPr>
          <w:cantSplit/>
          <w:trHeight w:val="560"/>
        </w:trPr>
        <w:tc>
          <w:tcPr>
            <w:tcW w:w="700" w:type="dxa"/>
            <w:tcMar>
              <w:top w:w="0" w:type="dxa"/>
              <w:bottom w:w="0" w:type="dxa"/>
            </w:tcMar>
            <w:vAlign w:val="center"/>
          </w:tcPr>
          <w:p w14:paraId="75AC3DC6" w14:textId="77777777" w:rsidR="00110F51" w:rsidRDefault="00000000">
            <w:pPr>
              <w:keepNext/>
              <w:keepLines/>
              <w:spacing w:after="0" w:line="240" w:lineRule="auto"/>
            </w:pPr>
            <w:r>
              <w:rPr>
                <w:sz w:val="18"/>
              </w:rPr>
              <w:t>324</w:t>
            </w:r>
          </w:p>
        </w:tc>
        <w:tc>
          <w:tcPr>
            <w:tcW w:w="3180" w:type="dxa"/>
            <w:tcMar>
              <w:top w:w="0" w:type="dxa"/>
              <w:bottom w:w="0" w:type="dxa"/>
            </w:tcMar>
            <w:vAlign w:val="center"/>
          </w:tcPr>
          <w:p w14:paraId="6BCAB9EE" w14:textId="77777777" w:rsidR="00110F51"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5B4BD9F8" w14:textId="77777777" w:rsidR="00110F51" w:rsidRDefault="00000000">
            <w:pPr>
              <w:keepNext/>
              <w:keepLines/>
              <w:spacing w:after="0" w:line="240" w:lineRule="auto"/>
            </w:pPr>
            <w:r>
              <w:rPr>
                <w:sz w:val="18"/>
              </w:rPr>
              <w:t>324</w:t>
            </w:r>
          </w:p>
        </w:tc>
        <w:tc>
          <w:tcPr>
            <w:tcW w:w="1860" w:type="dxa"/>
            <w:tcMar>
              <w:top w:w="0" w:type="dxa"/>
              <w:bottom w:w="0" w:type="dxa"/>
            </w:tcMar>
            <w:vAlign w:val="center"/>
          </w:tcPr>
          <w:p w14:paraId="07F5D856" w14:textId="77777777" w:rsidR="00110F51" w:rsidRDefault="00000000">
            <w:pPr>
              <w:keepNext/>
              <w:keepLines/>
              <w:spacing w:after="0" w:line="240" w:lineRule="auto"/>
              <w:jc w:val="right"/>
            </w:pPr>
            <w:r>
              <w:rPr>
                <w:sz w:val="18"/>
              </w:rPr>
              <w:t>4.351,63</w:t>
            </w:r>
          </w:p>
        </w:tc>
        <w:tc>
          <w:tcPr>
            <w:tcW w:w="1860" w:type="dxa"/>
            <w:tcMar>
              <w:top w:w="0" w:type="dxa"/>
              <w:bottom w:w="0" w:type="dxa"/>
            </w:tcMar>
            <w:vAlign w:val="center"/>
          </w:tcPr>
          <w:p w14:paraId="7D791B87" w14:textId="77777777" w:rsidR="00110F51" w:rsidRDefault="00000000">
            <w:pPr>
              <w:keepNext/>
              <w:keepLines/>
              <w:spacing w:after="0" w:line="240" w:lineRule="auto"/>
              <w:jc w:val="right"/>
            </w:pPr>
            <w:r>
              <w:rPr>
                <w:sz w:val="18"/>
              </w:rPr>
              <w:t>22.633,23</w:t>
            </w:r>
          </w:p>
        </w:tc>
        <w:tc>
          <w:tcPr>
            <w:tcW w:w="700" w:type="dxa"/>
            <w:tcMar>
              <w:top w:w="0" w:type="dxa"/>
              <w:bottom w:w="0" w:type="dxa"/>
            </w:tcMar>
            <w:vAlign w:val="center"/>
          </w:tcPr>
          <w:p w14:paraId="2A220467" w14:textId="77777777" w:rsidR="00110F51" w:rsidRDefault="00000000">
            <w:pPr>
              <w:keepNext/>
              <w:keepLines/>
              <w:spacing w:after="0" w:line="240" w:lineRule="auto"/>
              <w:jc w:val="right"/>
            </w:pPr>
            <w:r>
              <w:rPr>
                <w:sz w:val="18"/>
              </w:rPr>
              <w:t>520,1</w:t>
            </w:r>
          </w:p>
        </w:tc>
      </w:tr>
    </w:tbl>
    <w:p w14:paraId="52AEB7BD" w14:textId="77777777" w:rsidR="00110F51" w:rsidRDefault="00110F51">
      <w:pPr>
        <w:spacing w:after="0"/>
      </w:pPr>
    </w:p>
    <w:p w14:paraId="13CBA0E9" w14:textId="77777777" w:rsidR="00110F51" w:rsidRDefault="00000000">
      <w:r>
        <w:t>Rashodi za naknade troškova osobama izvan radnog odnosa viši su za 420,1% što je u apsolutnom iznosu 18.281,60 eura, a povećanje se odnosi na smještaj izvođača i sudionika, troškove prehrane i putne karte za sudionike u projektu Moving Balkans te manjim dijelom na putne karte sudionika na festivalu Port of dance, dok se isti rashod u 2024. godini odnosi samo na putne troškove sudionika na Port of dance festivalu, a na projektu Moving Balkans nije bilo realizacije istih. Povećanje se odnosi i na usluge smještaja za izložbu Yugo logo te smještaj izvođača festivala Porto Etno.</w:t>
      </w:r>
    </w:p>
    <w:p w14:paraId="05E8B68E" w14:textId="77777777" w:rsidR="00110F51" w:rsidRDefault="00110F51"/>
    <w:p w14:paraId="4BB029FF" w14:textId="77777777" w:rsidR="00110F51"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42F4D4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47EF42"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B285BA"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C106BD"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2C5627"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F1F9AC"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041DB8" w14:textId="77777777" w:rsidR="00110F51" w:rsidRDefault="00000000">
            <w:pPr>
              <w:keepNext/>
              <w:keepLines/>
              <w:spacing w:after="0" w:line="240" w:lineRule="auto"/>
              <w:jc w:val="center"/>
            </w:pPr>
            <w:r>
              <w:rPr>
                <w:b/>
                <w:sz w:val="18"/>
              </w:rPr>
              <w:t>Indeks (%)</w:t>
            </w:r>
          </w:p>
        </w:tc>
      </w:tr>
      <w:tr w:rsidR="00110F51" w14:paraId="30A692C3" w14:textId="77777777">
        <w:tblPrEx>
          <w:tblCellMar>
            <w:top w:w="0" w:type="dxa"/>
            <w:bottom w:w="0" w:type="dxa"/>
          </w:tblCellMar>
        </w:tblPrEx>
        <w:trPr>
          <w:cantSplit/>
          <w:trHeight w:val="560"/>
        </w:trPr>
        <w:tc>
          <w:tcPr>
            <w:tcW w:w="700" w:type="dxa"/>
            <w:tcMar>
              <w:top w:w="0" w:type="dxa"/>
              <w:bottom w:w="0" w:type="dxa"/>
            </w:tcMar>
            <w:vAlign w:val="center"/>
          </w:tcPr>
          <w:p w14:paraId="4582E5CC" w14:textId="77777777" w:rsidR="00110F51" w:rsidRDefault="00000000">
            <w:pPr>
              <w:keepNext/>
              <w:keepLines/>
              <w:spacing w:after="0" w:line="240" w:lineRule="auto"/>
            </w:pPr>
            <w:r>
              <w:rPr>
                <w:sz w:val="18"/>
              </w:rPr>
              <w:t>3292</w:t>
            </w:r>
          </w:p>
        </w:tc>
        <w:tc>
          <w:tcPr>
            <w:tcW w:w="3180" w:type="dxa"/>
            <w:tcMar>
              <w:top w:w="0" w:type="dxa"/>
              <w:bottom w:w="0" w:type="dxa"/>
            </w:tcMar>
            <w:vAlign w:val="center"/>
          </w:tcPr>
          <w:p w14:paraId="49B694EE" w14:textId="77777777" w:rsidR="00110F51" w:rsidRDefault="00000000">
            <w:pPr>
              <w:keepNext/>
              <w:keepLines/>
              <w:spacing w:after="0" w:line="240" w:lineRule="auto"/>
            </w:pPr>
            <w:r>
              <w:rPr>
                <w:sz w:val="18"/>
              </w:rPr>
              <w:t>Premije osiguranja</w:t>
            </w:r>
          </w:p>
        </w:tc>
        <w:tc>
          <w:tcPr>
            <w:tcW w:w="700" w:type="dxa"/>
            <w:tcMar>
              <w:top w:w="0" w:type="dxa"/>
              <w:bottom w:w="0" w:type="dxa"/>
            </w:tcMar>
            <w:vAlign w:val="center"/>
          </w:tcPr>
          <w:p w14:paraId="7C7C55C9" w14:textId="77777777" w:rsidR="00110F51" w:rsidRDefault="00000000">
            <w:pPr>
              <w:keepNext/>
              <w:keepLines/>
              <w:spacing w:after="0" w:line="240" w:lineRule="auto"/>
            </w:pPr>
            <w:r>
              <w:rPr>
                <w:sz w:val="18"/>
              </w:rPr>
              <w:t>3292</w:t>
            </w:r>
          </w:p>
        </w:tc>
        <w:tc>
          <w:tcPr>
            <w:tcW w:w="1860" w:type="dxa"/>
            <w:tcMar>
              <w:top w:w="0" w:type="dxa"/>
              <w:bottom w:w="0" w:type="dxa"/>
            </w:tcMar>
            <w:vAlign w:val="center"/>
          </w:tcPr>
          <w:p w14:paraId="48F3EC5E" w14:textId="77777777" w:rsidR="00110F51" w:rsidRDefault="00000000">
            <w:pPr>
              <w:keepNext/>
              <w:keepLines/>
              <w:spacing w:after="0" w:line="240" w:lineRule="auto"/>
              <w:jc w:val="right"/>
            </w:pPr>
            <w:r>
              <w:rPr>
                <w:sz w:val="18"/>
              </w:rPr>
              <w:t>3.107,98</w:t>
            </w:r>
          </w:p>
        </w:tc>
        <w:tc>
          <w:tcPr>
            <w:tcW w:w="1860" w:type="dxa"/>
            <w:tcMar>
              <w:top w:w="0" w:type="dxa"/>
              <w:bottom w:w="0" w:type="dxa"/>
            </w:tcMar>
            <w:vAlign w:val="center"/>
          </w:tcPr>
          <w:p w14:paraId="50BF9ECD" w14:textId="77777777" w:rsidR="00110F51" w:rsidRDefault="00000000">
            <w:pPr>
              <w:keepNext/>
              <w:keepLines/>
              <w:spacing w:after="0" w:line="240" w:lineRule="auto"/>
              <w:jc w:val="right"/>
            </w:pPr>
            <w:r>
              <w:rPr>
                <w:sz w:val="18"/>
              </w:rPr>
              <w:t>204,82</w:t>
            </w:r>
          </w:p>
        </w:tc>
        <w:tc>
          <w:tcPr>
            <w:tcW w:w="700" w:type="dxa"/>
            <w:tcMar>
              <w:top w:w="0" w:type="dxa"/>
              <w:bottom w:w="0" w:type="dxa"/>
            </w:tcMar>
            <w:vAlign w:val="center"/>
          </w:tcPr>
          <w:p w14:paraId="623BF157" w14:textId="77777777" w:rsidR="00110F51" w:rsidRDefault="00000000">
            <w:pPr>
              <w:keepNext/>
              <w:keepLines/>
              <w:spacing w:after="0" w:line="240" w:lineRule="auto"/>
              <w:jc w:val="right"/>
            </w:pPr>
            <w:r>
              <w:rPr>
                <w:sz w:val="18"/>
              </w:rPr>
              <w:t>6,6</w:t>
            </w:r>
          </w:p>
        </w:tc>
      </w:tr>
    </w:tbl>
    <w:p w14:paraId="01591BDC" w14:textId="77777777" w:rsidR="00110F51" w:rsidRDefault="00110F51">
      <w:pPr>
        <w:spacing w:after="0"/>
      </w:pPr>
    </w:p>
    <w:p w14:paraId="528E724E" w14:textId="77777777" w:rsidR="00110F51" w:rsidRDefault="00000000">
      <w:r>
        <w:t>Rashodi za premije osiguranja niži su za 93,4% što apsolutno iznosi 2.903,16 eura. Rashod osiguranja izložbe Galerije Kortil u 2024. godini iznosio je 2.932,22 eura, a u 2025. isti nije realiziran.</w:t>
      </w:r>
    </w:p>
    <w:p w14:paraId="3DC3FAB2" w14:textId="77777777" w:rsidR="00110F51" w:rsidRDefault="00110F51"/>
    <w:p w14:paraId="2275543C" w14:textId="77777777" w:rsidR="00110F51"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736F92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2D45E9"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DFB365"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F1E28F"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8D82FB"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E6BAEA"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9D73C8" w14:textId="77777777" w:rsidR="00110F51" w:rsidRDefault="00000000">
            <w:pPr>
              <w:keepNext/>
              <w:keepLines/>
              <w:spacing w:after="0" w:line="240" w:lineRule="auto"/>
              <w:jc w:val="center"/>
            </w:pPr>
            <w:r>
              <w:rPr>
                <w:b/>
                <w:sz w:val="18"/>
              </w:rPr>
              <w:t>Indeks (%)</w:t>
            </w:r>
          </w:p>
        </w:tc>
      </w:tr>
      <w:tr w:rsidR="00110F51" w14:paraId="0B3C2D41" w14:textId="77777777">
        <w:tblPrEx>
          <w:tblCellMar>
            <w:top w:w="0" w:type="dxa"/>
            <w:bottom w:w="0" w:type="dxa"/>
          </w:tblCellMar>
        </w:tblPrEx>
        <w:trPr>
          <w:cantSplit/>
          <w:trHeight w:val="560"/>
        </w:trPr>
        <w:tc>
          <w:tcPr>
            <w:tcW w:w="700" w:type="dxa"/>
            <w:tcMar>
              <w:top w:w="0" w:type="dxa"/>
              <w:bottom w:w="0" w:type="dxa"/>
            </w:tcMar>
            <w:vAlign w:val="center"/>
          </w:tcPr>
          <w:p w14:paraId="1A46BB7C" w14:textId="77777777" w:rsidR="00110F51" w:rsidRDefault="00000000">
            <w:pPr>
              <w:keepNext/>
              <w:keepLines/>
              <w:spacing w:after="0" w:line="240" w:lineRule="auto"/>
            </w:pPr>
            <w:r>
              <w:rPr>
                <w:sz w:val="18"/>
              </w:rPr>
              <w:t>3293</w:t>
            </w:r>
          </w:p>
        </w:tc>
        <w:tc>
          <w:tcPr>
            <w:tcW w:w="3180" w:type="dxa"/>
            <w:tcMar>
              <w:top w:w="0" w:type="dxa"/>
              <w:bottom w:w="0" w:type="dxa"/>
            </w:tcMar>
            <w:vAlign w:val="center"/>
          </w:tcPr>
          <w:p w14:paraId="26934B4E" w14:textId="77777777" w:rsidR="00110F51" w:rsidRDefault="00000000">
            <w:pPr>
              <w:keepNext/>
              <w:keepLines/>
              <w:spacing w:after="0" w:line="240" w:lineRule="auto"/>
            </w:pPr>
            <w:r>
              <w:rPr>
                <w:sz w:val="18"/>
              </w:rPr>
              <w:t>Reprezentacija</w:t>
            </w:r>
          </w:p>
        </w:tc>
        <w:tc>
          <w:tcPr>
            <w:tcW w:w="700" w:type="dxa"/>
            <w:tcMar>
              <w:top w:w="0" w:type="dxa"/>
              <w:bottom w:w="0" w:type="dxa"/>
            </w:tcMar>
            <w:vAlign w:val="center"/>
          </w:tcPr>
          <w:p w14:paraId="7BBCBF35" w14:textId="77777777" w:rsidR="00110F51" w:rsidRDefault="00000000">
            <w:pPr>
              <w:keepNext/>
              <w:keepLines/>
              <w:spacing w:after="0" w:line="240" w:lineRule="auto"/>
            </w:pPr>
            <w:r>
              <w:rPr>
                <w:sz w:val="18"/>
              </w:rPr>
              <w:t>3293</w:t>
            </w:r>
          </w:p>
        </w:tc>
        <w:tc>
          <w:tcPr>
            <w:tcW w:w="1860" w:type="dxa"/>
            <w:tcMar>
              <w:top w:w="0" w:type="dxa"/>
              <w:bottom w:w="0" w:type="dxa"/>
            </w:tcMar>
            <w:vAlign w:val="center"/>
          </w:tcPr>
          <w:p w14:paraId="13004639" w14:textId="77777777" w:rsidR="00110F51" w:rsidRDefault="00000000">
            <w:pPr>
              <w:keepNext/>
              <w:keepLines/>
              <w:spacing w:after="0" w:line="240" w:lineRule="auto"/>
              <w:jc w:val="right"/>
            </w:pPr>
            <w:r>
              <w:rPr>
                <w:sz w:val="18"/>
              </w:rPr>
              <w:t>2.486,33</w:t>
            </w:r>
          </w:p>
        </w:tc>
        <w:tc>
          <w:tcPr>
            <w:tcW w:w="1860" w:type="dxa"/>
            <w:tcMar>
              <w:top w:w="0" w:type="dxa"/>
              <w:bottom w:w="0" w:type="dxa"/>
            </w:tcMar>
            <w:vAlign w:val="center"/>
          </w:tcPr>
          <w:p w14:paraId="0C92B6D3" w14:textId="77777777" w:rsidR="00110F51" w:rsidRDefault="00000000">
            <w:pPr>
              <w:keepNext/>
              <w:keepLines/>
              <w:spacing w:after="0" w:line="240" w:lineRule="auto"/>
              <w:jc w:val="right"/>
            </w:pPr>
            <w:r>
              <w:rPr>
                <w:sz w:val="18"/>
              </w:rPr>
              <w:t>8.313,75</w:t>
            </w:r>
          </w:p>
        </w:tc>
        <w:tc>
          <w:tcPr>
            <w:tcW w:w="700" w:type="dxa"/>
            <w:tcMar>
              <w:top w:w="0" w:type="dxa"/>
              <w:bottom w:w="0" w:type="dxa"/>
            </w:tcMar>
            <w:vAlign w:val="center"/>
          </w:tcPr>
          <w:p w14:paraId="737C8661" w14:textId="77777777" w:rsidR="00110F51" w:rsidRDefault="00000000">
            <w:pPr>
              <w:keepNext/>
              <w:keepLines/>
              <w:spacing w:after="0" w:line="240" w:lineRule="auto"/>
              <w:jc w:val="right"/>
            </w:pPr>
            <w:r>
              <w:rPr>
                <w:sz w:val="18"/>
              </w:rPr>
              <w:t>334,4</w:t>
            </w:r>
          </w:p>
        </w:tc>
      </w:tr>
    </w:tbl>
    <w:p w14:paraId="1EA0CD63" w14:textId="77777777" w:rsidR="00110F51" w:rsidRDefault="00110F51">
      <w:pPr>
        <w:spacing w:after="0"/>
      </w:pPr>
    </w:p>
    <w:p w14:paraId="19F42057" w14:textId="77777777" w:rsidR="00110F51" w:rsidRDefault="00000000">
      <w:r>
        <w:t>Rashodi reprezentacije veći su za 234,4% što u apsolutnom iznosu iznosi 5.827,42 eura prvenstveno zbog usluga cateringa za showcase Moving Balkans projekt u 2025. godini.</w:t>
      </w:r>
    </w:p>
    <w:p w14:paraId="4589671F" w14:textId="77777777" w:rsidR="00110F51" w:rsidRDefault="00110F51"/>
    <w:p w14:paraId="4345EEF9" w14:textId="77777777" w:rsidR="00110F51"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48734E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ED90B5"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D5702E"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3D7B70"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B552BA"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3377A5"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81D920" w14:textId="77777777" w:rsidR="00110F51" w:rsidRDefault="00000000">
            <w:pPr>
              <w:keepNext/>
              <w:keepLines/>
              <w:spacing w:after="0" w:line="240" w:lineRule="auto"/>
              <w:jc w:val="center"/>
            </w:pPr>
            <w:r>
              <w:rPr>
                <w:b/>
                <w:sz w:val="18"/>
              </w:rPr>
              <w:t>Indeks (%)</w:t>
            </w:r>
          </w:p>
        </w:tc>
      </w:tr>
      <w:tr w:rsidR="00110F51" w14:paraId="5518871E" w14:textId="77777777">
        <w:tblPrEx>
          <w:tblCellMar>
            <w:top w:w="0" w:type="dxa"/>
            <w:bottom w:w="0" w:type="dxa"/>
          </w:tblCellMar>
        </w:tblPrEx>
        <w:trPr>
          <w:cantSplit/>
          <w:trHeight w:val="560"/>
        </w:trPr>
        <w:tc>
          <w:tcPr>
            <w:tcW w:w="700" w:type="dxa"/>
            <w:tcMar>
              <w:top w:w="0" w:type="dxa"/>
              <w:bottom w:w="0" w:type="dxa"/>
            </w:tcMar>
            <w:vAlign w:val="center"/>
          </w:tcPr>
          <w:p w14:paraId="0A9984B1" w14:textId="77777777" w:rsidR="00110F51" w:rsidRDefault="00000000">
            <w:pPr>
              <w:keepNext/>
              <w:keepLines/>
              <w:spacing w:after="0" w:line="240" w:lineRule="auto"/>
            </w:pPr>
            <w:r>
              <w:rPr>
                <w:sz w:val="18"/>
              </w:rPr>
              <w:t>3299</w:t>
            </w:r>
          </w:p>
        </w:tc>
        <w:tc>
          <w:tcPr>
            <w:tcW w:w="3180" w:type="dxa"/>
            <w:tcMar>
              <w:top w:w="0" w:type="dxa"/>
              <w:bottom w:w="0" w:type="dxa"/>
            </w:tcMar>
            <w:vAlign w:val="center"/>
          </w:tcPr>
          <w:p w14:paraId="3E842B61" w14:textId="77777777" w:rsidR="00110F51"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6F81011A" w14:textId="77777777" w:rsidR="00110F51" w:rsidRDefault="00000000">
            <w:pPr>
              <w:keepNext/>
              <w:keepLines/>
              <w:spacing w:after="0" w:line="240" w:lineRule="auto"/>
            </w:pPr>
            <w:r>
              <w:rPr>
                <w:sz w:val="18"/>
              </w:rPr>
              <w:t>3299</w:t>
            </w:r>
          </w:p>
        </w:tc>
        <w:tc>
          <w:tcPr>
            <w:tcW w:w="1860" w:type="dxa"/>
            <w:tcMar>
              <w:top w:w="0" w:type="dxa"/>
              <w:bottom w:w="0" w:type="dxa"/>
            </w:tcMar>
            <w:vAlign w:val="center"/>
          </w:tcPr>
          <w:p w14:paraId="43142C9E" w14:textId="77777777" w:rsidR="00110F51" w:rsidRDefault="00000000">
            <w:pPr>
              <w:keepNext/>
              <w:keepLines/>
              <w:spacing w:after="0" w:line="240" w:lineRule="auto"/>
              <w:jc w:val="right"/>
            </w:pPr>
            <w:r>
              <w:rPr>
                <w:sz w:val="18"/>
              </w:rPr>
              <w:t>6.904,31</w:t>
            </w:r>
          </w:p>
        </w:tc>
        <w:tc>
          <w:tcPr>
            <w:tcW w:w="1860" w:type="dxa"/>
            <w:tcMar>
              <w:top w:w="0" w:type="dxa"/>
              <w:bottom w:w="0" w:type="dxa"/>
            </w:tcMar>
            <w:vAlign w:val="center"/>
          </w:tcPr>
          <w:p w14:paraId="78009212" w14:textId="77777777" w:rsidR="00110F51" w:rsidRDefault="00000000">
            <w:pPr>
              <w:keepNext/>
              <w:keepLines/>
              <w:spacing w:after="0" w:line="240" w:lineRule="auto"/>
              <w:jc w:val="right"/>
            </w:pPr>
            <w:r>
              <w:rPr>
                <w:sz w:val="18"/>
              </w:rPr>
              <w:t>3.783,01</w:t>
            </w:r>
          </w:p>
        </w:tc>
        <w:tc>
          <w:tcPr>
            <w:tcW w:w="700" w:type="dxa"/>
            <w:tcMar>
              <w:top w:w="0" w:type="dxa"/>
              <w:bottom w:w="0" w:type="dxa"/>
            </w:tcMar>
            <w:vAlign w:val="center"/>
          </w:tcPr>
          <w:p w14:paraId="48F0B33A" w14:textId="77777777" w:rsidR="00110F51" w:rsidRDefault="00000000">
            <w:pPr>
              <w:keepNext/>
              <w:keepLines/>
              <w:spacing w:after="0" w:line="240" w:lineRule="auto"/>
              <w:jc w:val="right"/>
            </w:pPr>
            <w:r>
              <w:rPr>
                <w:sz w:val="18"/>
              </w:rPr>
              <w:t>54,8</w:t>
            </w:r>
          </w:p>
        </w:tc>
      </w:tr>
    </w:tbl>
    <w:p w14:paraId="29047BF1" w14:textId="77777777" w:rsidR="00110F51" w:rsidRDefault="00110F51">
      <w:pPr>
        <w:spacing w:after="0"/>
      </w:pPr>
    </w:p>
    <w:p w14:paraId="2C139190" w14:textId="77777777" w:rsidR="00110F51" w:rsidRDefault="00000000">
      <w:r>
        <w:t>Ostali nespomenuti rashodi poslovanja manji su za 45,2% u odnosu na isto razdoblje prošle godine zbog manjih naknada za usluge prodaje ulaznica putem sustava Moje karte.</w:t>
      </w:r>
    </w:p>
    <w:p w14:paraId="05C3FFF5" w14:textId="77777777" w:rsidR="00110F51" w:rsidRDefault="00110F51"/>
    <w:p w14:paraId="4B3F07C9" w14:textId="77777777" w:rsidR="00110F51"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116451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1A832F"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2781C2"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A9C797"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5ADD12"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DFE710"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B01D64" w14:textId="77777777" w:rsidR="00110F51" w:rsidRDefault="00000000">
            <w:pPr>
              <w:keepNext/>
              <w:keepLines/>
              <w:spacing w:after="0" w:line="240" w:lineRule="auto"/>
              <w:jc w:val="center"/>
            </w:pPr>
            <w:r>
              <w:rPr>
                <w:b/>
                <w:sz w:val="18"/>
              </w:rPr>
              <w:t>Indeks (%)</w:t>
            </w:r>
          </w:p>
        </w:tc>
      </w:tr>
      <w:tr w:rsidR="00110F51" w14:paraId="2FA69D3D" w14:textId="77777777">
        <w:tblPrEx>
          <w:tblCellMar>
            <w:top w:w="0" w:type="dxa"/>
            <w:bottom w:w="0" w:type="dxa"/>
          </w:tblCellMar>
        </w:tblPrEx>
        <w:trPr>
          <w:cantSplit/>
          <w:trHeight w:val="560"/>
        </w:trPr>
        <w:tc>
          <w:tcPr>
            <w:tcW w:w="700" w:type="dxa"/>
            <w:tcMar>
              <w:top w:w="0" w:type="dxa"/>
              <w:bottom w:w="0" w:type="dxa"/>
            </w:tcMar>
            <w:vAlign w:val="center"/>
          </w:tcPr>
          <w:p w14:paraId="508D1E59" w14:textId="77777777" w:rsidR="00110F51" w:rsidRDefault="00000000">
            <w:pPr>
              <w:keepNext/>
              <w:keepLines/>
              <w:spacing w:after="0" w:line="240" w:lineRule="auto"/>
            </w:pPr>
            <w:r>
              <w:rPr>
                <w:sz w:val="18"/>
              </w:rPr>
              <w:t>4</w:t>
            </w:r>
          </w:p>
        </w:tc>
        <w:tc>
          <w:tcPr>
            <w:tcW w:w="3180" w:type="dxa"/>
            <w:tcMar>
              <w:top w:w="0" w:type="dxa"/>
              <w:bottom w:w="0" w:type="dxa"/>
            </w:tcMar>
            <w:vAlign w:val="center"/>
          </w:tcPr>
          <w:p w14:paraId="50D214F9" w14:textId="77777777" w:rsidR="00110F51"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67B69BA" w14:textId="77777777" w:rsidR="00110F51" w:rsidRDefault="00000000">
            <w:pPr>
              <w:keepNext/>
              <w:keepLines/>
              <w:spacing w:after="0" w:line="240" w:lineRule="auto"/>
            </w:pPr>
            <w:r>
              <w:rPr>
                <w:sz w:val="18"/>
              </w:rPr>
              <w:t>4</w:t>
            </w:r>
          </w:p>
        </w:tc>
        <w:tc>
          <w:tcPr>
            <w:tcW w:w="1860" w:type="dxa"/>
            <w:tcMar>
              <w:top w:w="0" w:type="dxa"/>
              <w:bottom w:w="0" w:type="dxa"/>
            </w:tcMar>
            <w:vAlign w:val="center"/>
          </w:tcPr>
          <w:p w14:paraId="6793D32B" w14:textId="77777777" w:rsidR="00110F51" w:rsidRDefault="00000000">
            <w:pPr>
              <w:keepNext/>
              <w:keepLines/>
              <w:spacing w:after="0" w:line="240" w:lineRule="auto"/>
              <w:jc w:val="right"/>
            </w:pPr>
            <w:r>
              <w:rPr>
                <w:sz w:val="18"/>
              </w:rPr>
              <w:t>120.045,30</w:t>
            </w:r>
          </w:p>
        </w:tc>
        <w:tc>
          <w:tcPr>
            <w:tcW w:w="1860" w:type="dxa"/>
            <w:tcMar>
              <w:top w:w="0" w:type="dxa"/>
              <w:bottom w:w="0" w:type="dxa"/>
            </w:tcMar>
            <w:vAlign w:val="center"/>
          </w:tcPr>
          <w:p w14:paraId="2D190737" w14:textId="77777777" w:rsidR="00110F51" w:rsidRDefault="00000000">
            <w:pPr>
              <w:keepNext/>
              <w:keepLines/>
              <w:spacing w:after="0" w:line="240" w:lineRule="auto"/>
              <w:jc w:val="right"/>
            </w:pPr>
            <w:r>
              <w:rPr>
                <w:sz w:val="18"/>
              </w:rPr>
              <w:t>32.746,29</w:t>
            </w:r>
          </w:p>
        </w:tc>
        <w:tc>
          <w:tcPr>
            <w:tcW w:w="700" w:type="dxa"/>
            <w:tcMar>
              <w:top w:w="0" w:type="dxa"/>
              <w:bottom w:w="0" w:type="dxa"/>
            </w:tcMar>
            <w:vAlign w:val="center"/>
          </w:tcPr>
          <w:p w14:paraId="3436A6B8" w14:textId="77777777" w:rsidR="00110F51" w:rsidRDefault="00000000">
            <w:pPr>
              <w:keepNext/>
              <w:keepLines/>
              <w:spacing w:after="0" w:line="240" w:lineRule="auto"/>
              <w:jc w:val="right"/>
            </w:pPr>
            <w:r>
              <w:rPr>
                <w:sz w:val="18"/>
              </w:rPr>
              <w:t>27,3</w:t>
            </w:r>
          </w:p>
        </w:tc>
      </w:tr>
    </w:tbl>
    <w:p w14:paraId="25EAF013" w14:textId="77777777" w:rsidR="00110F51" w:rsidRDefault="00110F51">
      <w:pPr>
        <w:spacing w:after="0"/>
      </w:pPr>
    </w:p>
    <w:p w14:paraId="4108C43F" w14:textId="77777777" w:rsidR="00110F51" w:rsidRDefault="00000000">
      <w:r>
        <w:t>Rashodi za nabavu nefinancijske imovine iznose 32.746,29 eura (šifra 4) i niži su u odnosu na prethodnu godinu za 72,7% zbog nabavke dimmera za svjetlo u 2024. godini čija je nabavna vrijednost bila 97.500,68 eura.</w:t>
      </w:r>
    </w:p>
    <w:p w14:paraId="085D7956" w14:textId="77777777" w:rsidR="00110F51" w:rsidRDefault="00110F51"/>
    <w:p w14:paraId="0504808F" w14:textId="77777777" w:rsidR="00110F51"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4E4DC5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C496CA"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D976A2"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A907FB"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A40DF0"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B77D49"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4E5633" w14:textId="77777777" w:rsidR="00110F51" w:rsidRDefault="00000000">
            <w:pPr>
              <w:keepNext/>
              <w:keepLines/>
              <w:spacing w:after="0" w:line="240" w:lineRule="auto"/>
              <w:jc w:val="center"/>
            </w:pPr>
            <w:r>
              <w:rPr>
                <w:b/>
                <w:sz w:val="18"/>
              </w:rPr>
              <w:t>Indeks (%)</w:t>
            </w:r>
          </w:p>
        </w:tc>
      </w:tr>
      <w:tr w:rsidR="00110F51" w14:paraId="035CD96F" w14:textId="77777777">
        <w:tblPrEx>
          <w:tblCellMar>
            <w:top w:w="0" w:type="dxa"/>
            <w:bottom w:w="0" w:type="dxa"/>
          </w:tblCellMar>
        </w:tblPrEx>
        <w:trPr>
          <w:cantSplit/>
          <w:trHeight w:val="560"/>
        </w:trPr>
        <w:tc>
          <w:tcPr>
            <w:tcW w:w="700" w:type="dxa"/>
            <w:tcMar>
              <w:top w:w="0" w:type="dxa"/>
              <w:bottom w:w="0" w:type="dxa"/>
            </w:tcMar>
            <w:vAlign w:val="center"/>
          </w:tcPr>
          <w:p w14:paraId="18B02358" w14:textId="77777777" w:rsidR="00110F51" w:rsidRDefault="00000000">
            <w:pPr>
              <w:keepNext/>
              <w:keepLines/>
              <w:spacing w:after="0" w:line="240" w:lineRule="auto"/>
            </w:pPr>
            <w:r>
              <w:rPr>
                <w:sz w:val="18"/>
              </w:rPr>
              <w:t>422</w:t>
            </w:r>
          </w:p>
        </w:tc>
        <w:tc>
          <w:tcPr>
            <w:tcW w:w="3180" w:type="dxa"/>
            <w:tcMar>
              <w:top w:w="0" w:type="dxa"/>
              <w:bottom w:w="0" w:type="dxa"/>
            </w:tcMar>
            <w:vAlign w:val="center"/>
          </w:tcPr>
          <w:p w14:paraId="3848AA8E" w14:textId="77777777" w:rsidR="00110F51"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56C3DD48" w14:textId="77777777" w:rsidR="00110F51" w:rsidRDefault="00000000">
            <w:pPr>
              <w:keepNext/>
              <w:keepLines/>
              <w:spacing w:after="0" w:line="240" w:lineRule="auto"/>
            </w:pPr>
            <w:r>
              <w:rPr>
                <w:sz w:val="18"/>
              </w:rPr>
              <w:t>422</w:t>
            </w:r>
          </w:p>
        </w:tc>
        <w:tc>
          <w:tcPr>
            <w:tcW w:w="1860" w:type="dxa"/>
            <w:tcMar>
              <w:top w:w="0" w:type="dxa"/>
              <w:bottom w:w="0" w:type="dxa"/>
            </w:tcMar>
            <w:vAlign w:val="center"/>
          </w:tcPr>
          <w:p w14:paraId="330CE8E0" w14:textId="77777777" w:rsidR="00110F51" w:rsidRDefault="00000000">
            <w:pPr>
              <w:keepNext/>
              <w:keepLines/>
              <w:spacing w:after="0" w:line="240" w:lineRule="auto"/>
              <w:jc w:val="right"/>
            </w:pPr>
            <w:r>
              <w:rPr>
                <w:sz w:val="18"/>
              </w:rPr>
              <w:t>120.045,30</w:t>
            </w:r>
          </w:p>
        </w:tc>
        <w:tc>
          <w:tcPr>
            <w:tcW w:w="1860" w:type="dxa"/>
            <w:tcMar>
              <w:top w:w="0" w:type="dxa"/>
              <w:bottom w:w="0" w:type="dxa"/>
            </w:tcMar>
            <w:vAlign w:val="center"/>
          </w:tcPr>
          <w:p w14:paraId="114EAB6D" w14:textId="77777777" w:rsidR="00110F51" w:rsidRDefault="00000000">
            <w:pPr>
              <w:keepNext/>
              <w:keepLines/>
              <w:spacing w:after="0" w:line="240" w:lineRule="auto"/>
              <w:jc w:val="right"/>
            </w:pPr>
            <w:r>
              <w:rPr>
                <w:sz w:val="18"/>
              </w:rPr>
              <w:t>32.746,29</w:t>
            </w:r>
          </w:p>
        </w:tc>
        <w:tc>
          <w:tcPr>
            <w:tcW w:w="700" w:type="dxa"/>
            <w:tcMar>
              <w:top w:w="0" w:type="dxa"/>
              <w:bottom w:w="0" w:type="dxa"/>
            </w:tcMar>
            <w:vAlign w:val="center"/>
          </w:tcPr>
          <w:p w14:paraId="1213241B" w14:textId="77777777" w:rsidR="00110F51" w:rsidRDefault="00000000">
            <w:pPr>
              <w:keepNext/>
              <w:keepLines/>
              <w:spacing w:after="0" w:line="240" w:lineRule="auto"/>
              <w:jc w:val="right"/>
            </w:pPr>
            <w:r>
              <w:rPr>
                <w:sz w:val="18"/>
              </w:rPr>
              <w:t>27,3</w:t>
            </w:r>
          </w:p>
        </w:tc>
      </w:tr>
    </w:tbl>
    <w:p w14:paraId="1C0E1E97" w14:textId="77777777" w:rsidR="00110F51" w:rsidRDefault="00110F51">
      <w:pPr>
        <w:spacing w:after="0"/>
      </w:pPr>
    </w:p>
    <w:p w14:paraId="64B84139" w14:textId="77777777" w:rsidR="00110F51" w:rsidRDefault="00000000">
      <w:r>
        <w:t>Rashodi za nabavu nefinancijske imovine (uredske opreme i uređaja) u  2025. godini manji su nego lani  za 72,7% i iznose 32.746,29 eura, a odnose se na nabavu vatrogasnih aparata, zvučnika, ventilatora, mobitela, regala, rasvjetnog pulta, reflektora za scenu te hladnjaka. U 2024. godini su nabavljani dimmeri za svjetlo u iznosu 97.500,68 eura što čini značajnu razliku u odnosu na 2025. godinu.</w:t>
      </w:r>
    </w:p>
    <w:p w14:paraId="0BAB14A8" w14:textId="77777777" w:rsidR="00110F51" w:rsidRDefault="00110F51"/>
    <w:p w14:paraId="3D44288E" w14:textId="77777777" w:rsidR="00110F51"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56BD7B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D499E9"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21870A"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466D2A"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D6B8A0"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75C032"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5B1190" w14:textId="77777777" w:rsidR="00110F51" w:rsidRDefault="00000000">
            <w:pPr>
              <w:keepNext/>
              <w:keepLines/>
              <w:spacing w:after="0" w:line="240" w:lineRule="auto"/>
              <w:jc w:val="center"/>
            </w:pPr>
            <w:r>
              <w:rPr>
                <w:b/>
                <w:sz w:val="18"/>
              </w:rPr>
              <w:t>Indeks (%)</w:t>
            </w:r>
          </w:p>
        </w:tc>
      </w:tr>
      <w:tr w:rsidR="00110F51" w14:paraId="582A7EE0" w14:textId="77777777">
        <w:tblPrEx>
          <w:tblCellMar>
            <w:top w:w="0" w:type="dxa"/>
            <w:bottom w:w="0" w:type="dxa"/>
          </w:tblCellMar>
        </w:tblPrEx>
        <w:trPr>
          <w:cantSplit/>
          <w:trHeight w:val="560"/>
        </w:trPr>
        <w:tc>
          <w:tcPr>
            <w:tcW w:w="700" w:type="dxa"/>
            <w:tcMar>
              <w:top w:w="0" w:type="dxa"/>
              <w:bottom w:w="0" w:type="dxa"/>
            </w:tcMar>
            <w:vAlign w:val="center"/>
          </w:tcPr>
          <w:p w14:paraId="3E2A9010" w14:textId="77777777" w:rsidR="00110F51" w:rsidRDefault="00110F51">
            <w:pPr>
              <w:keepNext/>
              <w:keepLines/>
              <w:spacing w:after="0" w:line="240" w:lineRule="auto"/>
            </w:pPr>
          </w:p>
        </w:tc>
        <w:tc>
          <w:tcPr>
            <w:tcW w:w="3180" w:type="dxa"/>
            <w:tcMar>
              <w:top w:w="0" w:type="dxa"/>
              <w:bottom w:w="0" w:type="dxa"/>
            </w:tcMar>
            <w:vAlign w:val="center"/>
          </w:tcPr>
          <w:p w14:paraId="01E58A30" w14:textId="77777777" w:rsidR="00110F51"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5DF2F4C7" w14:textId="77777777" w:rsidR="00110F51" w:rsidRDefault="00000000">
            <w:pPr>
              <w:keepNext/>
              <w:keepLines/>
              <w:spacing w:after="0" w:line="240" w:lineRule="auto"/>
            </w:pPr>
            <w:r>
              <w:rPr>
                <w:sz w:val="18"/>
              </w:rPr>
              <w:t>Y004</w:t>
            </w:r>
          </w:p>
        </w:tc>
        <w:tc>
          <w:tcPr>
            <w:tcW w:w="1860" w:type="dxa"/>
            <w:tcMar>
              <w:top w:w="0" w:type="dxa"/>
              <w:bottom w:w="0" w:type="dxa"/>
            </w:tcMar>
            <w:vAlign w:val="center"/>
          </w:tcPr>
          <w:p w14:paraId="4CA56FFA" w14:textId="77777777" w:rsidR="00110F51" w:rsidRDefault="00000000">
            <w:pPr>
              <w:keepNext/>
              <w:keepLines/>
              <w:spacing w:after="0" w:line="240" w:lineRule="auto"/>
              <w:jc w:val="right"/>
            </w:pPr>
            <w:r>
              <w:rPr>
                <w:sz w:val="18"/>
              </w:rPr>
              <w:t>0,00</w:t>
            </w:r>
          </w:p>
        </w:tc>
        <w:tc>
          <w:tcPr>
            <w:tcW w:w="1860" w:type="dxa"/>
            <w:tcMar>
              <w:top w:w="0" w:type="dxa"/>
              <w:bottom w:w="0" w:type="dxa"/>
            </w:tcMar>
            <w:vAlign w:val="center"/>
          </w:tcPr>
          <w:p w14:paraId="01C5BA11" w14:textId="77777777" w:rsidR="00110F51" w:rsidRDefault="00000000">
            <w:pPr>
              <w:keepNext/>
              <w:keepLines/>
              <w:spacing w:after="0" w:line="240" w:lineRule="auto"/>
              <w:jc w:val="right"/>
            </w:pPr>
            <w:r>
              <w:rPr>
                <w:sz w:val="18"/>
              </w:rPr>
              <w:t>10.088,58</w:t>
            </w:r>
          </w:p>
        </w:tc>
        <w:tc>
          <w:tcPr>
            <w:tcW w:w="700" w:type="dxa"/>
            <w:tcMar>
              <w:top w:w="0" w:type="dxa"/>
              <w:bottom w:w="0" w:type="dxa"/>
            </w:tcMar>
            <w:vAlign w:val="center"/>
          </w:tcPr>
          <w:p w14:paraId="197FD567" w14:textId="77777777" w:rsidR="00110F51" w:rsidRDefault="00000000">
            <w:pPr>
              <w:keepNext/>
              <w:keepLines/>
              <w:spacing w:after="0" w:line="240" w:lineRule="auto"/>
              <w:jc w:val="right"/>
            </w:pPr>
            <w:r>
              <w:rPr>
                <w:sz w:val="18"/>
              </w:rPr>
              <w:t>-</w:t>
            </w:r>
          </w:p>
        </w:tc>
      </w:tr>
    </w:tbl>
    <w:p w14:paraId="71523987" w14:textId="77777777" w:rsidR="00110F51" w:rsidRDefault="00110F51">
      <w:pPr>
        <w:spacing w:after="0"/>
      </w:pPr>
    </w:p>
    <w:p w14:paraId="7A75EE4B" w14:textId="77777777" w:rsidR="00110F51" w:rsidRDefault="00000000">
      <w:r>
        <w:t>Ustanova bilježi u tekućem razdoblju ukupan metodološki manjak prihoda od 10.088,58 eura zbog nastanka rashoda iz proračunskog izvora financiranja u izvještajnom razdoblju, a prihod iz proračunskog izvora financiranja vezan uz iste rashode bilježi se u sljedećem izvještajnom razdoblju.</w:t>
      </w:r>
    </w:p>
    <w:p w14:paraId="1943B600" w14:textId="77777777" w:rsidR="00110F51" w:rsidRDefault="00110F51"/>
    <w:p w14:paraId="55A9D020" w14:textId="77777777" w:rsidR="00110F51"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4F09B1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A24951"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E3A5A1"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55FF68"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342487"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6A3087"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D46A94" w14:textId="77777777" w:rsidR="00110F51" w:rsidRDefault="00000000">
            <w:pPr>
              <w:keepNext/>
              <w:keepLines/>
              <w:spacing w:after="0" w:line="240" w:lineRule="auto"/>
              <w:jc w:val="center"/>
            </w:pPr>
            <w:r>
              <w:rPr>
                <w:b/>
                <w:sz w:val="18"/>
              </w:rPr>
              <w:t>Indeks (%)</w:t>
            </w:r>
          </w:p>
        </w:tc>
      </w:tr>
      <w:tr w:rsidR="00110F51" w14:paraId="3318B3AD" w14:textId="77777777">
        <w:tblPrEx>
          <w:tblCellMar>
            <w:top w:w="0" w:type="dxa"/>
            <w:bottom w:w="0" w:type="dxa"/>
          </w:tblCellMar>
        </w:tblPrEx>
        <w:trPr>
          <w:cantSplit/>
          <w:trHeight w:val="560"/>
        </w:trPr>
        <w:tc>
          <w:tcPr>
            <w:tcW w:w="700" w:type="dxa"/>
            <w:tcMar>
              <w:top w:w="0" w:type="dxa"/>
              <w:bottom w:w="0" w:type="dxa"/>
            </w:tcMar>
            <w:vAlign w:val="center"/>
          </w:tcPr>
          <w:p w14:paraId="41DE8CC6" w14:textId="77777777" w:rsidR="00110F51" w:rsidRDefault="00000000">
            <w:pPr>
              <w:keepNext/>
              <w:keepLines/>
              <w:spacing w:after="0" w:line="240" w:lineRule="auto"/>
            </w:pPr>
            <w:r>
              <w:rPr>
                <w:sz w:val="18"/>
              </w:rPr>
              <w:t>9221x, 9222x</w:t>
            </w:r>
          </w:p>
        </w:tc>
        <w:tc>
          <w:tcPr>
            <w:tcW w:w="3180" w:type="dxa"/>
            <w:tcMar>
              <w:top w:w="0" w:type="dxa"/>
              <w:bottom w:w="0" w:type="dxa"/>
            </w:tcMar>
            <w:vAlign w:val="center"/>
          </w:tcPr>
          <w:p w14:paraId="11CB4CB8" w14:textId="77777777" w:rsidR="00110F51" w:rsidRDefault="00000000">
            <w:pPr>
              <w:keepNext/>
              <w:keepLines/>
              <w:spacing w:after="0" w:line="240" w:lineRule="auto"/>
            </w:pPr>
            <w:r>
              <w:rPr>
                <w:sz w:val="18"/>
              </w:rPr>
              <w:t>Višak prihoda - preneseni (šifre 92211+92212-92221-92222)</w:t>
            </w:r>
          </w:p>
        </w:tc>
        <w:tc>
          <w:tcPr>
            <w:tcW w:w="700" w:type="dxa"/>
            <w:tcMar>
              <w:top w:w="0" w:type="dxa"/>
              <w:bottom w:w="0" w:type="dxa"/>
            </w:tcMar>
            <w:vAlign w:val="center"/>
          </w:tcPr>
          <w:p w14:paraId="3F4AD894" w14:textId="77777777" w:rsidR="00110F51" w:rsidRDefault="00000000">
            <w:pPr>
              <w:keepNext/>
              <w:keepLines/>
              <w:spacing w:after="0" w:line="240" w:lineRule="auto"/>
            </w:pPr>
            <w:r>
              <w:rPr>
                <w:sz w:val="18"/>
              </w:rPr>
              <w:t>9221x,9222x VP</w:t>
            </w:r>
          </w:p>
        </w:tc>
        <w:tc>
          <w:tcPr>
            <w:tcW w:w="1860" w:type="dxa"/>
            <w:tcMar>
              <w:top w:w="0" w:type="dxa"/>
              <w:bottom w:w="0" w:type="dxa"/>
            </w:tcMar>
            <w:vAlign w:val="center"/>
          </w:tcPr>
          <w:p w14:paraId="35638646" w14:textId="77777777" w:rsidR="00110F51" w:rsidRDefault="00000000">
            <w:pPr>
              <w:keepNext/>
              <w:keepLines/>
              <w:spacing w:after="0" w:line="240" w:lineRule="auto"/>
              <w:jc w:val="right"/>
            </w:pPr>
            <w:r>
              <w:rPr>
                <w:sz w:val="18"/>
              </w:rPr>
              <w:t>0,00</w:t>
            </w:r>
          </w:p>
        </w:tc>
        <w:tc>
          <w:tcPr>
            <w:tcW w:w="1860" w:type="dxa"/>
            <w:tcMar>
              <w:top w:w="0" w:type="dxa"/>
              <w:bottom w:w="0" w:type="dxa"/>
            </w:tcMar>
            <w:vAlign w:val="center"/>
          </w:tcPr>
          <w:p w14:paraId="46230378" w14:textId="77777777" w:rsidR="00110F51" w:rsidRDefault="00000000">
            <w:pPr>
              <w:keepNext/>
              <w:keepLines/>
              <w:spacing w:after="0" w:line="240" w:lineRule="auto"/>
              <w:jc w:val="right"/>
            </w:pPr>
            <w:r>
              <w:rPr>
                <w:sz w:val="18"/>
              </w:rPr>
              <w:t>16.259,96</w:t>
            </w:r>
          </w:p>
        </w:tc>
        <w:tc>
          <w:tcPr>
            <w:tcW w:w="700" w:type="dxa"/>
            <w:tcMar>
              <w:top w:w="0" w:type="dxa"/>
              <w:bottom w:w="0" w:type="dxa"/>
            </w:tcMar>
            <w:vAlign w:val="center"/>
          </w:tcPr>
          <w:p w14:paraId="4848FCD8" w14:textId="77777777" w:rsidR="00110F51" w:rsidRDefault="00000000">
            <w:pPr>
              <w:keepNext/>
              <w:keepLines/>
              <w:spacing w:after="0" w:line="240" w:lineRule="auto"/>
              <w:jc w:val="right"/>
            </w:pPr>
            <w:r>
              <w:rPr>
                <w:sz w:val="18"/>
              </w:rPr>
              <w:t>-</w:t>
            </w:r>
          </w:p>
        </w:tc>
      </w:tr>
    </w:tbl>
    <w:p w14:paraId="55B1B915" w14:textId="77777777" w:rsidR="00110F51" w:rsidRDefault="00110F51">
      <w:pPr>
        <w:spacing w:after="0"/>
      </w:pPr>
    </w:p>
    <w:p w14:paraId="1E162E2D" w14:textId="77777777" w:rsidR="00110F51" w:rsidRDefault="00000000">
      <w:r>
        <w:t>Višak prihoda preneseni – iznosi 16.259,96 eura prenesenog viška iz 2024. godine na raspolaganje u 2025. godinu. U istom razdoblju prethodne godine prenosio se manjak od 40.275,04 eura iz 2023. godine koji je pokriven prihodom već u prvom tromjesečju 2024. godine.</w:t>
      </w:r>
    </w:p>
    <w:p w14:paraId="53F63C21" w14:textId="77777777" w:rsidR="00110F51" w:rsidRDefault="00110F51"/>
    <w:p w14:paraId="286D9847" w14:textId="77777777" w:rsidR="00110F51"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23BEBB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77B0EA"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CAC1AB"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74B3F5"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289B24"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D48572"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1070A8" w14:textId="77777777" w:rsidR="00110F51" w:rsidRDefault="00000000">
            <w:pPr>
              <w:keepNext/>
              <w:keepLines/>
              <w:spacing w:after="0" w:line="240" w:lineRule="auto"/>
              <w:jc w:val="center"/>
            </w:pPr>
            <w:r>
              <w:rPr>
                <w:b/>
                <w:sz w:val="18"/>
              </w:rPr>
              <w:t>Indeks (%)</w:t>
            </w:r>
          </w:p>
        </w:tc>
      </w:tr>
      <w:tr w:rsidR="00110F51" w14:paraId="2A2CF3C6" w14:textId="77777777">
        <w:tblPrEx>
          <w:tblCellMar>
            <w:top w:w="0" w:type="dxa"/>
            <w:bottom w:w="0" w:type="dxa"/>
          </w:tblCellMar>
        </w:tblPrEx>
        <w:trPr>
          <w:cantSplit/>
          <w:trHeight w:val="560"/>
        </w:trPr>
        <w:tc>
          <w:tcPr>
            <w:tcW w:w="700" w:type="dxa"/>
            <w:tcMar>
              <w:top w:w="0" w:type="dxa"/>
              <w:bottom w:w="0" w:type="dxa"/>
            </w:tcMar>
            <w:vAlign w:val="center"/>
          </w:tcPr>
          <w:p w14:paraId="67381225" w14:textId="77777777" w:rsidR="00110F51" w:rsidRDefault="00000000">
            <w:pPr>
              <w:keepNext/>
              <w:keepLines/>
              <w:spacing w:after="0" w:line="240" w:lineRule="auto"/>
            </w:pPr>
            <w:r>
              <w:rPr>
                <w:sz w:val="18"/>
              </w:rPr>
              <w:t>8</w:t>
            </w:r>
          </w:p>
        </w:tc>
        <w:tc>
          <w:tcPr>
            <w:tcW w:w="3180" w:type="dxa"/>
            <w:tcMar>
              <w:top w:w="0" w:type="dxa"/>
              <w:bottom w:w="0" w:type="dxa"/>
            </w:tcMar>
            <w:vAlign w:val="center"/>
          </w:tcPr>
          <w:p w14:paraId="6D1D11BF" w14:textId="77777777" w:rsidR="00110F51"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F3EB357" w14:textId="77777777" w:rsidR="00110F51" w:rsidRDefault="00000000">
            <w:pPr>
              <w:keepNext/>
              <w:keepLines/>
              <w:spacing w:after="0" w:line="240" w:lineRule="auto"/>
            </w:pPr>
            <w:r>
              <w:rPr>
                <w:sz w:val="18"/>
              </w:rPr>
              <w:t>8</w:t>
            </w:r>
          </w:p>
        </w:tc>
        <w:tc>
          <w:tcPr>
            <w:tcW w:w="1860" w:type="dxa"/>
            <w:tcMar>
              <w:top w:w="0" w:type="dxa"/>
              <w:bottom w:w="0" w:type="dxa"/>
            </w:tcMar>
            <w:vAlign w:val="center"/>
          </w:tcPr>
          <w:p w14:paraId="7372DA42" w14:textId="77777777" w:rsidR="00110F51" w:rsidRDefault="00000000">
            <w:pPr>
              <w:keepNext/>
              <w:keepLines/>
              <w:spacing w:after="0" w:line="240" w:lineRule="auto"/>
              <w:jc w:val="right"/>
            </w:pPr>
            <w:r>
              <w:rPr>
                <w:sz w:val="18"/>
              </w:rPr>
              <w:t>0,00</w:t>
            </w:r>
          </w:p>
        </w:tc>
        <w:tc>
          <w:tcPr>
            <w:tcW w:w="1860" w:type="dxa"/>
            <w:tcMar>
              <w:top w:w="0" w:type="dxa"/>
              <w:bottom w:w="0" w:type="dxa"/>
            </w:tcMar>
            <w:vAlign w:val="center"/>
          </w:tcPr>
          <w:p w14:paraId="182C0506" w14:textId="77777777" w:rsidR="00110F51" w:rsidRDefault="00000000">
            <w:pPr>
              <w:keepNext/>
              <w:keepLines/>
              <w:spacing w:after="0" w:line="240" w:lineRule="auto"/>
              <w:jc w:val="right"/>
            </w:pPr>
            <w:r>
              <w:rPr>
                <w:sz w:val="18"/>
              </w:rPr>
              <w:t>0,00</w:t>
            </w:r>
          </w:p>
        </w:tc>
        <w:tc>
          <w:tcPr>
            <w:tcW w:w="700" w:type="dxa"/>
            <w:tcMar>
              <w:top w:w="0" w:type="dxa"/>
              <w:bottom w:w="0" w:type="dxa"/>
            </w:tcMar>
            <w:vAlign w:val="center"/>
          </w:tcPr>
          <w:p w14:paraId="6BC97225" w14:textId="77777777" w:rsidR="00110F51" w:rsidRDefault="00000000">
            <w:pPr>
              <w:keepNext/>
              <w:keepLines/>
              <w:spacing w:after="0" w:line="240" w:lineRule="auto"/>
              <w:jc w:val="right"/>
            </w:pPr>
            <w:r>
              <w:rPr>
                <w:sz w:val="18"/>
              </w:rPr>
              <w:t>-</w:t>
            </w:r>
          </w:p>
        </w:tc>
      </w:tr>
    </w:tbl>
    <w:p w14:paraId="1990B000" w14:textId="77777777" w:rsidR="00110F51" w:rsidRDefault="00110F51">
      <w:pPr>
        <w:spacing w:after="0"/>
      </w:pPr>
    </w:p>
    <w:p w14:paraId="5EBCA4E6" w14:textId="77777777" w:rsidR="00110F51" w:rsidRDefault="00000000">
      <w:r>
        <w:t>U izvještajnom razdoblju, jednako kao i u prethodnoj godini ustanova nije ostvarila primitke.</w:t>
      </w:r>
    </w:p>
    <w:p w14:paraId="060EEE8A" w14:textId="77777777" w:rsidR="00110F51" w:rsidRDefault="00110F51"/>
    <w:p w14:paraId="05E1D597" w14:textId="77777777" w:rsidR="00110F51"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69A514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CBB0D6"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4BD74F"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8FDC2D"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FE622B"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08F1D3"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31FC34" w14:textId="77777777" w:rsidR="00110F51" w:rsidRDefault="00000000">
            <w:pPr>
              <w:keepNext/>
              <w:keepLines/>
              <w:spacing w:after="0" w:line="240" w:lineRule="auto"/>
              <w:jc w:val="center"/>
            </w:pPr>
            <w:r>
              <w:rPr>
                <w:b/>
                <w:sz w:val="18"/>
              </w:rPr>
              <w:t>Indeks (%)</w:t>
            </w:r>
          </w:p>
        </w:tc>
      </w:tr>
      <w:tr w:rsidR="00110F51" w14:paraId="44F139BC" w14:textId="77777777">
        <w:tblPrEx>
          <w:tblCellMar>
            <w:top w:w="0" w:type="dxa"/>
            <w:bottom w:w="0" w:type="dxa"/>
          </w:tblCellMar>
        </w:tblPrEx>
        <w:trPr>
          <w:cantSplit/>
          <w:trHeight w:val="560"/>
        </w:trPr>
        <w:tc>
          <w:tcPr>
            <w:tcW w:w="700" w:type="dxa"/>
            <w:tcMar>
              <w:top w:w="0" w:type="dxa"/>
              <w:bottom w:w="0" w:type="dxa"/>
            </w:tcMar>
            <w:vAlign w:val="center"/>
          </w:tcPr>
          <w:p w14:paraId="7D0F985C" w14:textId="77777777" w:rsidR="00110F51" w:rsidRDefault="00000000">
            <w:pPr>
              <w:keepNext/>
              <w:keepLines/>
              <w:spacing w:after="0" w:line="240" w:lineRule="auto"/>
            </w:pPr>
            <w:r>
              <w:rPr>
                <w:sz w:val="18"/>
              </w:rPr>
              <w:t>5</w:t>
            </w:r>
          </w:p>
        </w:tc>
        <w:tc>
          <w:tcPr>
            <w:tcW w:w="3180" w:type="dxa"/>
            <w:tcMar>
              <w:top w:w="0" w:type="dxa"/>
              <w:bottom w:w="0" w:type="dxa"/>
            </w:tcMar>
            <w:vAlign w:val="center"/>
          </w:tcPr>
          <w:p w14:paraId="5A54EDEB" w14:textId="77777777" w:rsidR="00110F51"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7382AD0" w14:textId="77777777" w:rsidR="00110F51" w:rsidRDefault="00000000">
            <w:pPr>
              <w:keepNext/>
              <w:keepLines/>
              <w:spacing w:after="0" w:line="240" w:lineRule="auto"/>
            </w:pPr>
            <w:r>
              <w:rPr>
                <w:sz w:val="18"/>
              </w:rPr>
              <w:t>5</w:t>
            </w:r>
          </w:p>
        </w:tc>
        <w:tc>
          <w:tcPr>
            <w:tcW w:w="1860" w:type="dxa"/>
            <w:tcMar>
              <w:top w:w="0" w:type="dxa"/>
              <w:bottom w:w="0" w:type="dxa"/>
            </w:tcMar>
            <w:vAlign w:val="center"/>
          </w:tcPr>
          <w:p w14:paraId="10CF2A42" w14:textId="77777777" w:rsidR="00110F51" w:rsidRDefault="00000000">
            <w:pPr>
              <w:keepNext/>
              <w:keepLines/>
              <w:spacing w:after="0" w:line="240" w:lineRule="auto"/>
              <w:jc w:val="right"/>
            </w:pPr>
            <w:r>
              <w:rPr>
                <w:sz w:val="18"/>
              </w:rPr>
              <w:t>0,00</w:t>
            </w:r>
          </w:p>
        </w:tc>
        <w:tc>
          <w:tcPr>
            <w:tcW w:w="1860" w:type="dxa"/>
            <w:tcMar>
              <w:top w:w="0" w:type="dxa"/>
              <w:bottom w:w="0" w:type="dxa"/>
            </w:tcMar>
            <w:vAlign w:val="center"/>
          </w:tcPr>
          <w:p w14:paraId="7694DE65" w14:textId="77777777" w:rsidR="00110F51" w:rsidRDefault="00000000">
            <w:pPr>
              <w:keepNext/>
              <w:keepLines/>
              <w:spacing w:after="0" w:line="240" w:lineRule="auto"/>
              <w:jc w:val="right"/>
            </w:pPr>
            <w:r>
              <w:rPr>
                <w:sz w:val="18"/>
              </w:rPr>
              <w:t>0,00</w:t>
            </w:r>
          </w:p>
        </w:tc>
        <w:tc>
          <w:tcPr>
            <w:tcW w:w="700" w:type="dxa"/>
            <w:tcMar>
              <w:top w:w="0" w:type="dxa"/>
              <w:bottom w:w="0" w:type="dxa"/>
            </w:tcMar>
            <w:vAlign w:val="center"/>
          </w:tcPr>
          <w:p w14:paraId="4824C047" w14:textId="77777777" w:rsidR="00110F51" w:rsidRDefault="00000000">
            <w:pPr>
              <w:keepNext/>
              <w:keepLines/>
              <w:spacing w:after="0" w:line="240" w:lineRule="auto"/>
              <w:jc w:val="right"/>
            </w:pPr>
            <w:r>
              <w:rPr>
                <w:sz w:val="18"/>
              </w:rPr>
              <w:t>-</w:t>
            </w:r>
          </w:p>
        </w:tc>
      </w:tr>
    </w:tbl>
    <w:p w14:paraId="7540C83F" w14:textId="77777777" w:rsidR="00110F51" w:rsidRDefault="00110F51">
      <w:pPr>
        <w:spacing w:after="0"/>
      </w:pPr>
    </w:p>
    <w:p w14:paraId="514F08C1" w14:textId="77777777" w:rsidR="00110F51" w:rsidRDefault="00000000">
      <w:r>
        <w:t>U izvještajnom razdoblju, jednako kao i u prethodnoj godini ustanova nije ostvarila izdatke.</w:t>
      </w:r>
    </w:p>
    <w:p w14:paraId="600FB54B" w14:textId="77777777" w:rsidR="00110F51" w:rsidRDefault="00110F51"/>
    <w:p w14:paraId="55AAEEA3" w14:textId="77777777" w:rsidR="00110F51"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6C1103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91CEBD"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B4F53E"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30F10F"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9CCCBA"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66D436"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E7F0E2" w14:textId="77777777" w:rsidR="00110F51" w:rsidRDefault="00000000">
            <w:pPr>
              <w:keepNext/>
              <w:keepLines/>
              <w:spacing w:after="0" w:line="240" w:lineRule="auto"/>
              <w:jc w:val="center"/>
            </w:pPr>
            <w:r>
              <w:rPr>
                <w:b/>
                <w:sz w:val="18"/>
              </w:rPr>
              <w:t>Indeks (%)</w:t>
            </w:r>
          </w:p>
        </w:tc>
      </w:tr>
      <w:tr w:rsidR="00110F51" w14:paraId="24911957" w14:textId="77777777">
        <w:tblPrEx>
          <w:tblCellMar>
            <w:top w:w="0" w:type="dxa"/>
            <w:bottom w:w="0" w:type="dxa"/>
          </w:tblCellMar>
        </w:tblPrEx>
        <w:trPr>
          <w:cantSplit/>
          <w:trHeight w:val="560"/>
        </w:trPr>
        <w:tc>
          <w:tcPr>
            <w:tcW w:w="700" w:type="dxa"/>
            <w:tcMar>
              <w:top w:w="0" w:type="dxa"/>
              <w:bottom w:w="0" w:type="dxa"/>
            </w:tcMar>
            <w:vAlign w:val="center"/>
          </w:tcPr>
          <w:p w14:paraId="63AF6B68" w14:textId="77777777" w:rsidR="00110F51" w:rsidRDefault="00110F51">
            <w:pPr>
              <w:keepNext/>
              <w:keepLines/>
              <w:spacing w:after="0" w:line="240" w:lineRule="auto"/>
            </w:pPr>
          </w:p>
        </w:tc>
        <w:tc>
          <w:tcPr>
            <w:tcW w:w="3180" w:type="dxa"/>
            <w:tcMar>
              <w:top w:w="0" w:type="dxa"/>
              <w:bottom w:w="0" w:type="dxa"/>
            </w:tcMar>
            <w:vAlign w:val="center"/>
          </w:tcPr>
          <w:p w14:paraId="5BB85284" w14:textId="77777777" w:rsidR="00110F51"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494274B5" w14:textId="77777777" w:rsidR="00110F51" w:rsidRDefault="00000000">
            <w:pPr>
              <w:keepNext/>
              <w:keepLines/>
              <w:spacing w:after="0" w:line="240" w:lineRule="auto"/>
            </w:pPr>
            <w:r>
              <w:rPr>
                <w:sz w:val="18"/>
              </w:rPr>
              <w:t>X006</w:t>
            </w:r>
          </w:p>
        </w:tc>
        <w:tc>
          <w:tcPr>
            <w:tcW w:w="1860" w:type="dxa"/>
            <w:tcMar>
              <w:top w:w="0" w:type="dxa"/>
              <w:bottom w:w="0" w:type="dxa"/>
            </w:tcMar>
            <w:vAlign w:val="center"/>
          </w:tcPr>
          <w:p w14:paraId="15842D08" w14:textId="77777777" w:rsidR="00110F51" w:rsidRDefault="00000000">
            <w:pPr>
              <w:keepNext/>
              <w:keepLines/>
              <w:spacing w:after="0" w:line="240" w:lineRule="auto"/>
              <w:jc w:val="right"/>
            </w:pPr>
            <w:r>
              <w:rPr>
                <w:sz w:val="18"/>
              </w:rPr>
              <w:t>16.259,96</w:t>
            </w:r>
          </w:p>
        </w:tc>
        <w:tc>
          <w:tcPr>
            <w:tcW w:w="1860" w:type="dxa"/>
            <w:tcMar>
              <w:top w:w="0" w:type="dxa"/>
              <w:bottom w:w="0" w:type="dxa"/>
            </w:tcMar>
            <w:vAlign w:val="center"/>
          </w:tcPr>
          <w:p w14:paraId="0AC04741" w14:textId="77777777" w:rsidR="00110F51" w:rsidRDefault="00000000">
            <w:pPr>
              <w:keepNext/>
              <w:keepLines/>
              <w:spacing w:after="0" w:line="240" w:lineRule="auto"/>
              <w:jc w:val="right"/>
            </w:pPr>
            <w:r>
              <w:rPr>
                <w:sz w:val="18"/>
              </w:rPr>
              <w:t>6.171,38</w:t>
            </w:r>
          </w:p>
        </w:tc>
        <w:tc>
          <w:tcPr>
            <w:tcW w:w="700" w:type="dxa"/>
            <w:tcMar>
              <w:top w:w="0" w:type="dxa"/>
              <w:bottom w:w="0" w:type="dxa"/>
            </w:tcMar>
            <w:vAlign w:val="center"/>
          </w:tcPr>
          <w:p w14:paraId="0D7A36B3" w14:textId="77777777" w:rsidR="00110F51" w:rsidRDefault="00000000">
            <w:pPr>
              <w:keepNext/>
              <w:keepLines/>
              <w:spacing w:after="0" w:line="240" w:lineRule="auto"/>
              <w:jc w:val="right"/>
            </w:pPr>
            <w:r>
              <w:rPr>
                <w:sz w:val="18"/>
              </w:rPr>
              <w:t>38,0</w:t>
            </w:r>
          </w:p>
        </w:tc>
      </w:tr>
    </w:tbl>
    <w:p w14:paraId="6D85EDCD" w14:textId="77777777" w:rsidR="00110F51" w:rsidRDefault="00110F51">
      <w:pPr>
        <w:spacing w:after="0"/>
      </w:pPr>
    </w:p>
    <w:p w14:paraId="4600D173" w14:textId="77777777" w:rsidR="00110F51" w:rsidRDefault="00000000">
      <w:r>
        <w:t>Višak prihoda i primitaka raspoloživ u sljedećem razdoblju  iznosi 6.171,38 eura i čine ga preneseni višak od 16.259,96 eura umanjen za manjak prihoda u 2025. godini od 10.088,58 eura. U odnosu na prethodno razdoblje iste godine višak prihoda manji je za 62,0% prvenstveno zbog prihoda po osnovi partnerstva u EU projektu od 72.536,80 eura koji je značajno utjecao na ukupan prihod ustanove u prethodnom razdoblju te na ukupni višak prihoda.</w:t>
      </w:r>
    </w:p>
    <w:p w14:paraId="28700BE9" w14:textId="77777777" w:rsidR="00110F51" w:rsidRDefault="00110F51"/>
    <w:p w14:paraId="6D85A908" w14:textId="77777777" w:rsidR="00110F51"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7F0B0B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B28B5F"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9991E7"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7F3551"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2D3B91" w14:textId="77777777" w:rsidR="00110F5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530D09" w14:textId="77777777" w:rsidR="00110F5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27C05A" w14:textId="77777777" w:rsidR="00110F51" w:rsidRDefault="00000000">
            <w:pPr>
              <w:keepNext/>
              <w:keepLines/>
              <w:spacing w:after="0" w:line="240" w:lineRule="auto"/>
              <w:jc w:val="center"/>
            </w:pPr>
            <w:r>
              <w:rPr>
                <w:b/>
                <w:sz w:val="18"/>
              </w:rPr>
              <w:t>Indeks (%)</w:t>
            </w:r>
          </w:p>
        </w:tc>
      </w:tr>
      <w:tr w:rsidR="00110F51" w14:paraId="7F93EB01" w14:textId="77777777">
        <w:tblPrEx>
          <w:tblCellMar>
            <w:top w:w="0" w:type="dxa"/>
            <w:bottom w:w="0" w:type="dxa"/>
          </w:tblCellMar>
        </w:tblPrEx>
        <w:trPr>
          <w:cantSplit/>
          <w:trHeight w:val="560"/>
        </w:trPr>
        <w:tc>
          <w:tcPr>
            <w:tcW w:w="700" w:type="dxa"/>
            <w:tcMar>
              <w:top w:w="0" w:type="dxa"/>
              <w:bottom w:w="0" w:type="dxa"/>
            </w:tcMar>
            <w:vAlign w:val="center"/>
          </w:tcPr>
          <w:p w14:paraId="65C00AB5" w14:textId="77777777" w:rsidR="00110F51" w:rsidRDefault="00000000">
            <w:pPr>
              <w:keepNext/>
              <w:keepLines/>
              <w:spacing w:after="0" w:line="240" w:lineRule="auto"/>
            </w:pPr>
            <w:r>
              <w:rPr>
                <w:sz w:val="18"/>
              </w:rPr>
              <w:t>32377</w:t>
            </w:r>
          </w:p>
        </w:tc>
        <w:tc>
          <w:tcPr>
            <w:tcW w:w="3180" w:type="dxa"/>
            <w:tcMar>
              <w:top w:w="0" w:type="dxa"/>
              <w:bottom w:w="0" w:type="dxa"/>
            </w:tcMar>
            <w:vAlign w:val="center"/>
          </w:tcPr>
          <w:p w14:paraId="1367C1CF" w14:textId="77777777" w:rsidR="00110F51" w:rsidRDefault="00000000">
            <w:pPr>
              <w:keepNext/>
              <w:keepLines/>
              <w:spacing w:after="0" w:line="240" w:lineRule="auto"/>
            </w:pPr>
            <w:r>
              <w:rPr>
                <w:sz w:val="18"/>
              </w:rPr>
              <w:t>Usluge agencija, studentskog servisa (prijepisi, prijevodi i drugo)</w:t>
            </w:r>
          </w:p>
        </w:tc>
        <w:tc>
          <w:tcPr>
            <w:tcW w:w="700" w:type="dxa"/>
            <w:tcMar>
              <w:top w:w="0" w:type="dxa"/>
              <w:bottom w:w="0" w:type="dxa"/>
            </w:tcMar>
            <w:vAlign w:val="center"/>
          </w:tcPr>
          <w:p w14:paraId="0E82E5F0" w14:textId="77777777" w:rsidR="00110F51" w:rsidRDefault="00000000">
            <w:pPr>
              <w:keepNext/>
              <w:keepLines/>
              <w:spacing w:after="0" w:line="240" w:lineRule="auto"/>
            </w:pPr>
            <w:r>
              <w:rPr>
                <w:sz w:val="18"/>
              </w:rPr>
              <w:t>32377</w:t>
            </w:r>
          </w:p>
        </w:tc>
        <w:tc>
          <w:tcPr>
            <w:tcW w:w="1860" w:type="dxa"/>
            <w:tcMar>
              <w:top w:w="0" w:type="dxa"/>
              <w:bottom w:w="0" w:type="dxa"/>
            </w:tcMar>
            <w:vAlign w:val="center"/>
          </w:tcPr>
          <w:p w14:paraId="4EBBE375" w14:textId="77777777" w:rsidR="00110F51" w:rsidRDefault="00000000">
            <w:pPr>
              <w:keepNext/>
              <w:keepLines/>
              <w:spacing w:after="0" w:line="240" w:lineRule="auto"/>
              <w:jc w:val="right"/>
            </w:pPr>
            <w:r>
              <w:rPr>
                <w:sz w:val="18"/>
              </w:rPr>
              <w:t>9.775,35</w:t>
            </w:r>
          </w:p>
        </w:tc>
        <w:tc>
          <w:tcPr>
            <w:tcW w:w="1860" w:type="dxa"/>
            <w:tcMar>
              <w:top w:w="0" w:type="dxa"/>
              <w:bottom w:w="0" w:type="dxa"/>
            </w:tcMar>
            <w:vAlign w:val="center"/>
          </w:tcPr>
          <w:p w14:paraId="1911CCFC" w14:textId="77777777" w:rsidR="00110F51" w:rsidRDefault="00000000">
            <w:pPr>
              <w:keepNext/>
              <w:keepLines/>
              <w:spacing w:after="0" w:line="240" w:lineRule="auto"/>
              <w:jc w:val="right"/>
            </w:pPr>
            <w:r>
              <w:rPr>
                <w:sz w:val="18"/>
              </w:rPr>
              <w:t>16.022,34</w:t>
            </w:r>
          </w:p>
        </w:tc>
        <w:tc>
          <w:tcPr>
            <w:tcW w:w="700" w:type="dxa"/>
            <w:tcMar>
              <w:top w:w="0" w:type="dxa"/>
              <w:bottom w:w="0" w:type="dxa"/>
            </w:tcMar>
            <w:vAlign w:val="center"/>
          </w:tcPr>
          <w:p w14:paraId="5AF18BFA" w14:textId="77777777" w:rsidR="00110F51" w:rsidRDefault="00000000">
            <w:pPr>
              <w:keepNext/>
              <w:keepLines/>
              <w:spacing w:after="0" w:line="240" w:lineRule="auto"/>
              <w:jc w:val="right"/>
            </w:pPr>
            <w:r>
              <w:rPr>
                <w:sz w:val="18"/>
              </w:rPr>
              <w:t>163,9</w:t>
            </w:r>
          </w:p>
        </w:tc>
      </w:tr>
    </w:tbl>
    <w:p w14:paraId="68AB88DC" w14:textId="77777777" w:rsidR="00110F51" w:rsidRDefault="00110F51">
      <w:pPr>
        <w:spacing w:after="0"/>
      </w:pPr>
    </w:p>
    <w:p w14:paraId="17AE57BC" w14:textId="77777777" w:rsidR="00110F51" w:rsidRDefault="00000000">
      <w:r>
        <w:t>Rashod usluga studentskog servisa viši je u odnosu na 2024. godinu za 63,9% zbog većeg obujma programskog poslovanja u 2025. te povećane potrebe za biljeterskim uslugama studenata, a i zbog više tarifne cijene studentskog servisa u 2025. godini.</w:t>
      </w:r>
    </w:p>
    <w:p w14:paraId="16688BC9" w14:textId="77777777" w:rsidR="00110F51" w:rsidRDefault="00110F51"/>
    <w:p w14:paraId="43C7523F" w14:textId="77777777" w:rsidR="00110F51" w:rsidRDefault="00000000">
      <w:pPr>
        <w:keepNext/>
        <w:spacing w:line="240" w:lineRule="auto"/>
        <w:jc w:val="center"/>
      </w:pPr>
      <w:r>
        <w:rPr>
          <w:b/>
          <w:sz w:val="28"/>
        </w:rPr>
        <w:t>Bilanca</w:t>
      </w:r>
    </w:p>
    <w:p w14:paraId="50AB0584" w14:textId="77777777" w:rsidR="00110F51"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64F307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FF6F7F"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652D1C"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805A12"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0C48A4"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64BAF32"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8CCF21" w14:textId="77777777" w:rsidR="00110F51" w:rsidRDefault="00000000">
            <w:pPr>
              <w:keepNext/>
              <w:keepLines/>
              <w:spacing w:after="0" w:line="240" w:lineRule="auto"/>
              <w:jc w:val="center"/>
            </w:pPr>
            <w:r>
              <w:rPr>
                <w:b/>
                <w:sz w:val="18"/>
              </w:rPr>
              <w:t>Indeks (%)</w:t>
            </w:r>
          </w:p>
        </w:tc>
      </w:tr>
      <w:tr w:rsidR="00110F51" w14:paraId="7E77FB91" w14:textId="77777777">
        <w:tblPrEx>
          <w:tblCellMar>
            <w:top w:w="0" w:type="dxa"/>
            <w:bottom w:w="0" w:type="dxa"/>
          </w:tblCellMar>
        </w:tblPrEx>
        <w:trPr>
          <w:cantSplit/>
          <w:trHeight w:val="560"/>
        </w:trPr>
        <w:tc>
          <w:tcPr>
            <w:tcW w:w="700" w:type="dxa"/>
            <w:tcMar>
              <w:top w:w="0" w:type="dxa"/>
              <w:bottom w:w="0" w:type="dxa"/>
            </w:tcMar>
            <w:vAlign w:val="center"/>
          </w:tcPr>
          <w:p w14:paraId="5A65EE7B" w14:textId="77777777" w:rsidR="00110F51" w:rsidRDefault="00000000">
            <w:pPr>
              <w:keepNext/>
              <w:keepLines/>
              <w:spacing w:after="0" w:line="240" w:lineRule="auto"/>
            </w:pPr>
            <w:r>
              <w:rPr>
                <w:sz w:val="18"/>
              </w:rPr>
              <w:t>0227</w:t>
            </w:r>
          </w:p>
        </w:tc>
        <w:tc>
          <w:tcPr>
            <w:tcW w:w="3180" w:type="dxa"/>
            <w:tcMar>
              <w:top w:w="0" w:type="dxa"/>
              <w:bottom w:w="0" w:type="dxa"/>
            </w:tcMar>
            <w:vAlign w:val="center"/>
          </w:tcPr>
          <w:p w14:paraId="137ACEEF" w14:textId="77777777" w:rsidR="00110F51"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69617007" w14:textId="77777777" w:rsidR="00110F51" w:rsidRDefault="00000000">
            <w:pPr>
              <w:keepNext/>
              <w:keepLines/>
              <w:spacing w:after="0" w:line="240" w:lineRule="auto"/>
            </w:pPr>
            <w:r>
              <w:rPr>
                <w:sz w:val="18"/>
              </w:rPr>
              <w:t>0227</w:t>
            </w:r>
          </w:p>
        </w:tc>
        <w:tc>
          <w:tcPr>
            <w:tcW w:w="1860" w:type="dxa"/>
            <w:tcMar>
              <w:top w:w="0" w:type="dxa"/>
              <w:bottom w:w="0" w:type="dxa"/>
            </w:tcMar>
            <w:vAlign w:val="center"/>
          </w:tcPr>
          <w:p w14:paraId="5A13A824" w14:textId="77777777" w:rsidR="00110F51" w:rsidRDefault="00000000">
            <w:pPr>
              <w:keepNext/>
              <w:keepLines/>
              <w:spacing w:after="0" w:line="240" w:lineRule="auto"/>
              <w:jc w:val="right"/>
            </w:pPr>
            <w:r>
              <w:rPr>
                <w:sz w:val="18"/>
              </w:rPr>
              <w:t>146.529,71</w:t>
            </w:r>
          </w:p>
        </w:tc>
        <w:tc>
          <w:tcPr>
            <w:tcW w:w="1860" w:type="dxa"/>
            <w:tcMar>
              <w:top w:w="0" w:type="dxa"/>
              <w:bottom w:w="0" w:type="dxa"/>
            </w:tcMar>
            <w:vAlign w:val="center"/>
          </w:tcPr>
          <w:p w14:paraId="3F2640A0" w14:textId="77777777" w:rsidR="00110F51" w:rsidRDefault="00000000">
            <w:pPr>
              <w:keepNext/>
              <w:keepLines/>
              <w:spacing w:after="0" w:line="240" w:lineRule="auto"/>
              <w:jc w:val="right"/>
            </w:pPr>
            <w:r>
              <w:rPr>
                <w:sz w:val="18"/>
              </w:rPr>
              <w:t>178.509,99</w:t>
            </w:r>
          </w:p>
        </w:tc>
        <w:tc>
          <w:tcPr>
            <w:tcW w:w="700" w:type="dxa"/>
            <w:tcMar>
              <w:top w:w="0" w:type="dxa"/>
              <w:bottom w:w="0" w:type="dxa"/>
            </w:tcMar>
            <w:vAlign w:val="center"/>
          </w:tcPr>
          <w:p w14:paraId="398A01E8" w14:textId="77777777" w:rsidR="00110F51" w:rsidRDefault="00000000">
            <w:pPr>
              <w:keepNext/>
              <w:keepLines/>
              <w:spacing w:after="0" w:line="240" w:lineRule="auto"/>
              <w:jc w:val="right"/>
            </w:pPr>
            <w:r>
              <w:rPr>
                <w:sz w:val="18"/>
              </w:rPr>
              <w:t>121,8</w:t>
            </w:r>
          </w:p>
        </w:tc>
      </w:tr>
    </w:tbl>
    <w:p w14:paraId="5BFAE528" w14:textId="77777777" w:rsidR="00110F51" w:rsidRDefault="00110F51">
      <w:pPr>
        <w:spacing w:after="0"/>
      </w:pPr>
    </w:p>
    <w:p w14:paraId="4336168F" w14:textId="77777777" w:rsidR="00110F51" w:rsidRDefault="00000000">
      <w:r>
        <w:t>Povećanje stavke od 21,8% ili u apsolutnom iznosu od 31.980,28 odnosi se na nabavku rasvjetnog pulta nabavne vrijednosti 17.822,07 eura te preostali iznos na nabavku vatrogasnih aparata, zvučnika, ventilatora, mobitela, regala, reflektora za scenu te hladnjaka za volonterski program.</w:t>
      </w:r>
    </w:p>
    <w:p w14:paraId="0D0C3C6D" w14:textId="77777777" w:rsidR="00110F51" w:rsidRDefault="00110F51"/>
    <w:p w14:paraId="2976D839" w14:textId="77777777" w:rsidR="00110F51"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5182E3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51C624"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2B3F34"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24657E"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563DB5"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8A25AB"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D3CD96" w14:textId="77777777" w:rsidR="00110F51" w:rsidRDefault="00000000">
            <w:pPr>
              <w:keepNext/>
              <w:keepLines/>
              <w:spacing w:after="0" w:line="240" w:lineRule="auto"/>
              <w:jc w:val="center"/>
            </w:pPr>
            <w:r>
              <w:rPr>
                <w:b/>
                <w:sz w:val="18"/>
              </w:rPr>
              <w:t>Indeks (%)</w:t>
            </w:r>
          </w:p>
        </w:tc>
      </w:tr>
      <w:tr w:rsidR="00110F51" w14:paraId="59D73863" w14:textId="77777777">
        <w:tblPrEx>
          <w:tblCellMar>
            <w:top w:w="0" w:type="dxa"/>
            <w:bottom w:w="0" w:type="dxa"/>
          </w:tblCellMar>
        </w:tblPrEx>
        <w:trPr>
          <w:cantSplit/>
          <w:trHeight w:val="560"/>
        </w:trPr>
        <w:tc>
          <w:tcPr>
            <w:tcW w:w="700" w:type="dxa"/>
            <w:tcMar>
              <w:top w:w="0" w:type="dxa"/>
              <w:bottom w:w="0" w:type="dxa"/>
            </w:tcMar>
            <w:vAlign w:val="center"/>
          </w:tcPr>
          <w:p w14:paraId="256780E2" w14:textId="77777777" w:rsidR="00110F51" w:rsidRDefault="00000000">
            <w:pPr>
              <w:keepNext/>
              <w:keepLines/>
              <w:spacing w:after="0" w:line="240" w:lineRule="auto"/>
            </w:pPr>
            <w:r>
              <w:rPr>
                <w:sz w:val="18"/>
              </w:rPr>
              <w:t>02922</w:t>
            </w:r>
          </w:p>
        </w:tc>
        <w:tc>
          <w:tcPr>
            <w:tcW w:w="3180" w:type="dxa"/>
            <w:tcMar>
              <w:top w:w="0" w:type="dxa"/>
              <w:bottom w:w="0" w:type="dxa"/>
            </w:tcMar>
            <w:vAlign w:val="center"/>
          </w:tcPr>
          <w:p w14:paraId="0EC832EC" w14:textId="77777777" w:rsidR="00110F51" w:rsidRDefault="00000000">
            <w:pPr>
              <w:keepNext/>
              <w:keepLines/>
              <w:spacing w:after="0" w:line="240" w:lineRule="auto"/>
            </w:pPr>
            <w:r>
              <w:rPr>
                <w:sz w:val="18"/>
              </w:rPr>
              <w:t>Ispravak vrijednosti postrojenja i opreme</w:t>
            </w:r>
          </w:p>
        </w:tc>
        <w:tc>
          <w:tcPr>
            <w:tcW w:w="700" w:type="dxa"/>
            <w:tcMar>
              <w:top w:w="0" w:type="dxa"/>
              <w:bottom w:w="0" w:type="dxa"/>
            </w:tcMar>
            <w:vAlign w:val="center"/>
          </w:tcPr>
          <w:p w14:paraId="315652E4" w14:textId="77777777" w:rsidR="00110F51" w:rsidRDefault="00000000">
            <w:pPr>
              <w:keepNext/>
              <w:keepLines/>
              <w:spacing w:after="0" w:line="240" w:lineRule="auto"/>
            </w:pPr>
            <w:r>
              <w:rPr>
                <w:sz w:val="18"/>
              </w:rPr>
              <w:t>02922</w:t>
            </w:r>
          </w:p>
        </w:tc>
        <w:tc>
          <w:tcPr>
            <w:tcW w:w="1860" w:type="dxa"/>
            <w:tcMar>
              <w:top w:w="0" w:type="dxa"/>
              <w:bottom w:w="0" w:type="dxa"/>
            </w:tcMar>
            <w:vAlign w:val="center"/>
          </w:tcPr>
          <w:p w14:paraId="57B6AF6C" w14:textId="77777777" w:rsidR="00110F51" w:rsidRDefault="00000000">
            <w:pPr>
              <w:keepNext/>
              <w:keepLines/>
              <w:spacing w:after="0" w:line="240" w:lineRule="auto"/>
              <w:jc w:val="right"/>
            </w:pPr>
            <w:r>
              <w:rPr>
                <w:sz w:val="18"/>
              </w:rPr>
              <w:t>32.185,32</w:t>
            </w:r>
          </w:p>
        </w:tc>
        <w:tc>
          <w:tcPr>
            <w:tcW w:w="1860" w:type="dxa"/>
            <w:tcMar>
              <w:top w:w="0" w:type="dxa"/>
              <w:bottom w:w="0" w:type="dxa"/>
            </w:tcMar>
            <w:vAlign w:val="center"/>
          </w:tcPr>
          <w:p w14:paraId="16749DBA" w14:textId="77777777" w:rsidR="00110F51" w:rsidRDefault="00000000">
            <w:pPr>
              <w:keepNext/>
              <w:keepLines/>
              <w:spacing w:after="0" w:line="240" w:lineRule="auto"/>
              <w:jc w:val="right"/>
            </w:pPr>
            <w:r>
              <w:rPr>
                <w:sz w:val="18"/>
              </w:rPr>
              <w:t>63.622,79</w:t>
            </w:r>
          </w:p>
        </w:tc>
        <w:tc>
          <w:tcPr>
            <w:tcW w:w="700" w:type="dxa"/>
            <w:tcMar>
              <w:top w:w="0" w:type="dxa"/>
              <w:bottom w:w="0" w:type="dxa"/>
            </w:tcMar>
            <w:vAlign w:val="center"/>
          </w:tcPr>
          <w:p w14:paraId="12D393BB" w14:textId="77777777" w:rsidR="00110F51" w:rsidRDefault="00000000">
            <w:pPr>
              <w:keepNext/>
              <w:keepLines/>
              <w:spacing w:after="0" w:line="240" w:lineRule="auto"/>
              <w:jc w:val="right"/>
            </w:pPr>
            <w:r>
              <w:rPr>
                <w:sz w:val="18"/>
              </w:rPr>
              <w:t>197,7</w:t>
            </w:r>
          </w:p>
        </w:tc>
      </w:tr>
    </w:tbl>
    <w:p w14:paraId="309B046F" w14:textId="77777777" w:rsidR="00110F51" w:rsidRDefault="00110F51">
      <w:pPr>
        <w:spacing w:after="0"/>
      </w:pPr>
    </w:p>
    <w:p w14:paraId="4605E154" w14:textId="77777777" w:rsidR="00110F51" w:rsidRDefault="00000000">
      <w:r>
        <w:t>Ispravak vrijednosti postrojenja i opreme u 2025. godini bilježi povećanje od 97,7% zbog cjelogodišnjeg ispravka vrijednosti značajne stavke nabavke imovine - dimmera za svjetlo u iznosu 97.600,58 eura koji su nabavljani u studenom 2024. , a čija se amortizacija provodila kroz cijelu 2025. godinu, što nije bio slučaj u 2024. godini.</w:t>
      </w:r>
    </w:p>
    <w:p w14:paraId="6AA22689" w14:textId="77777777" w:rsidR="00110F51" w:rsidRDefault="00110F51"/>
    <w:p w14:paraId="69AD397F" w14:textId="77777777" w:rsidR="00110F51"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6331CC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83B446"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A7B3EE"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AE6469"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4EFDC3"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6A1827"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2D62BD" w14:textId="77777777" w:rsidR="00110F51" w:rsidRDefault="00000000">
            <w:pPr>
              <w:keepNext/>
              <w:keepLines/>
              <w:spacing w:after="0" w:line="240" w:lineRule="auto"/>
              <w:jc w:val="center"/>
            </w:pPr>
            <w:r>
              <w:rPr>
                <w:b/>
                <w:sz w:val="18"/>
              </w:rPr>
              <w:t>Indeks (%)</w:t>
            </w:r>
          </w:p>
        </w:tc>
      </w:tr>
      <w:tr w:rsidR="00110F51" w14:paraId="508B0D5E" w14:textId="77777777">
        <w:tblPrEx>
          <w:tblCellMar>
            <w:top w:w="0" w:type="dxa"/>
            <w:bottom w:w="0" w:type="dxa"/>
          </w:tblCellMar>
        </w:tblPrEx>
        <w:trPr>
          <w:cantSplit/>
          <w:trHeight w:val="560"/>
        </w:trPr>
        <w:tc>
          <w:tcPr>
            <w:tcW w:w="700" w:type="dxa"/>
            <w:tcMar>
              <w:top w:w="0" w:type="dxa"/>
              <w:bottom w:w="0" w:type="dxa"/>
            </w:tcMar>
            <w:vAlign w:val="center"/>
          </w:tcPr>
          <w:p w14:paraId="0890230E" w14:textId="77777777" w:rsidR="00110F51" w:rsidRDefault="00000000">
            <w:pPr>
              <w:keepNext/>
              <w:keepLines/>
              <w:spacing w:after="0" w:line="240" w:lineRule="auto"/>
            </w:pPr>
            <w:r>
              <w:rPr>
                <w:sz w:val="18"/>
              </w:rPr>
              <w:t>1</w:t>
            </w:r>
          </w:p>
        </w:tc>
        <w:tc>
          <w:tcPr>
            <w:tcW w:w="3180" w:type="dxa"/>
            <w:tcMar>
              <w:top w:w="0" w:type="dxa"/>
              <w:bottom w:w="0" w:type="dxa"/>
            </w:tcMar>
            <w:vAlign w:val="center"/>
          </w:tcPr>
          <w:p w14:paraId="1C9D79F9" w14:textId="77777777" w:rsidR="00110F51"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605D0D89" w14:textId="77777777" w:rsidR="00110F51" w:rsidRDefault="00000000">
            <w:pPr>
              <w:keepNext/>
              <w:keepLines/>
              <w:spacing w:after="0" w:line="240" w:lineRule="auto"/>
            </w:pPr>
            <w:r>
              <w:rPr>
                <w:sz w:val="18"/>
              </w:rPr>
              <w:t>1</w:t>
            </w:r>
          </w:p>
        </w:tc>
        <w:tc>
          <w:tcPr>
            <w:tcW w:w="1860" w:type="dxa"/>
            <w:tcMar>
              <w:top w:w="0" w:type="dxa"/>
              <w:bottom w:w="0" w:type="dxa"/>
            </w:tcMar>
            <w:vAlign w:val="center"/>
          </w:tcPr>
          <w:p w14:paraId="6CDD36EE" w14:textId="77777777" w:rsidR="00110F51" w:rsidRDefault="00000000">
            <w:pPr>
              <w:keepNext/>
              <w:keepLines/>
              <w:spacing w:after="0" w:line="240" w:lineRule="auto"/>
              <w:jc w:val="right"/>
            </w:pPr>
            <w:r>
              <w:rPr>
                <w:sz w:val="18"/>
              </w:rPr>
              <w:t>73.333,11</w:t>
            </w:r>
          </w:p>
        </w:tc>
        <w:tc>
          <w:tcPr>
            <w:tcW w:w="1860" w:type="dxa"/>
            <w:tcMar>
              <w:top w:w="0" w:type="dxa"/>
              <w:bottom w:w="0" w:type="dxa"/>
            </w:tcMar>
            <w:vAlign w:val="center"/>
          </w:tcPr>
          <w:p w14:paraId="7D913375" w14:textId="77777777" w:rsidR="00110F51" w:rsidRDefault="00000000">
            <w:pPr>
              <w:keepNext/>
              <w:keepLines/>
              <w:spacing w:after="0" w:line="240" w:lineRule="auto"/>
              <w:jc w:val="right"/>
            </w:pPr>
            <w:r>
              <w:rPr>
                <w:sz w:val="18"/>
              </w:rPr>
              <w:t>63.047,22</w:t>
            </w:r>
          </w:p>
        </w:tc>
        <w:tc>
          <w:tcPr>
            <w:tcW w:w="700" w:type="dxa"/>
            <w:tcMar>
              <w:top w:w="0" w:type="dxa"/>
              <w:bottom w:w="0" w:type="dxa"/>
            </w:tcMar>
            <w:vAlign w:val="center"/>
          </w:tcPr>
          <w:p w14:paraId="466FF807" w14:textId="77777777" w:rsidR="00110F51" w:rsidRDefault="00000000">
            <w:pPr>
              <w:keepNext/>
              <w:keepLines/>
              <w:spacing w:after="0" w:line="240" w:lineRule="auto"/>
              <w:jc w:val="right"/>
            </w:pPr>
            <w:r>
              <w:rPr>
                <w:sz w:val="18"/>
              </w:rPr>
              <w:t>86,0</w:t>
            </w:r>
          </w:p>
        </w:tc>
      </w:tr>
    </w:tbl>
    <w:p w14:paraId="018CAD6A" w14:textId="77777777" w:rsidR="00110F51" w:rsidRDefault="00110F51">
      <w:pPr>
        <w:spacing w:after="0"/>
      </w:pPr>
    </w:p>
    <w:p w14:paraId="0CE55BF5" w14:textId="77777777" w:rsidR="00110F51" w:rsidRDefault="00000000">
      <w:r>
        <w:t>Financijska imovina u 2025. u odnosu na 2024. godinu je manja za 14% zbog nižih potraživanja od prodaje usluga na 31.12.2025. u odnosu na 31.12.2024., nižih potraživanja od HZZO-a za refundaciju bolovanja u 2025. zbog brže refundacije bolovanja u 2025. godini te nižih potraživanja za sredstva uplaćena u nadležni proračun.</w:t>
      </w:r>
    </w:p>
    <w:p w14:paraId="56056C11" w14:textId="77777777" w:rsidR="00110F51" w:rsidRDefault="00110F51"/>
    <w:p w14:paraId="290FB802" w14:textId="77777777" w:rsidR="00110F51"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2552FD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12EF34"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6F8CDD"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7BAE22"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D442DD"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3160EE7"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4655B7" w14:textId="77777777" w:rsidR="00110F51" w:rsidRDefault="00000000">
            <w:pPr>
              <w:keepNext/>
              <w:keepLines/>
              <w:spacing w:after="0" w:line="240" w:lineRule="auto"/>
              <w:jc w:val="center"/>
            </w:pPr>
            <w:r>
              <w:rPr>
                <w:b/>
                <w:sz w:val="18"/>
              </w:rPr>
              <w:t>Indeks (%)</w:t>
            </w:r>
          </w:p>
        </w:tc>
      </w:tr>
      <w:tr w:rsidR="00110F51" w14:paraId="34FAA1E4" w14:textId="77777777">
        <w:tblPrEx>
          <w:tblCellMar>
            <w:top w:w="0" w:type="dxa"/>
            <w:bottom w:w="0" w:type="dxa"/>
          </w:tblCellMar>
        </w:tblPrEx>
        <w:trPr>
          <w:cantSplit/>
          <w:trHeight w:val="560"/>
        </w:trPr>
        <w:tc>
          <w:tcPr>
            <w:tcW w:w="700" w:type="dxa"/>
            <w:tcMar>
              <w:top w:w="0" w:type="dxa"/>
              <w:bottom w:w="0" w:type="dxa"/>
            </w:tcMar>
            <w:vAlign w:val="center"/>
          </w:tcPr>
          <w:p w14:paraId="7BE2C4F9" w14:textId="77777777" w:rsidR="00110F51" w:rsidRDefault="00000000">
            <w:pPr>
              <w:keepNext/>
              <w:keepLines/>
              <w:spacing w:after="0" w:line="240" w:lineRule="auto"/>
            </w:pPr>
            <w:r>
              <w:rPr>
                <w:sz w:val="18"/>
              </w:rPr>
              <w:t>12</w:t>
            </w:r>
          </w:p>
        </w:tc>
        <w:tc>
          <w:tcPr>
            <w:tcW w:w="3180" w:type="dxa"/>
            <w:tcMar>
              <w:top w:w="0" w:type="dxa"/>
              <w:bottom w:w="0" w:type="dxa"/>
            </w:tcMar>
            <w:vAlign w:val="center"/>
          </w:tcPr>
          <w:p w14:paraId="45AB7A65" w14:textId="77777777" w:rsidR="00110F51" w:rsidRDefault="00000000">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14:paraId="5E834AEF" w14:textId="77777777" w:rsidR="00110F51" w:rsidRDefault="00000000">
            <w:pPr>
              <w:keepNext/>
              <w:keepLines/>
              <w:spacing w:after="0" w:line="240" w:lineRule="auto"/>
            </w:pPr>
            <w:r>
              <w:rPr>
                <w:sz w:val="18"/>
              </w:rPr>
              <w:t>12</w:t>
            </w:r>
          </w:p>
        </w:tc>
        <w:tc>
          <w:tcPr>
            <w:tcW w:w="1860" w:type="dxa"/>
            <w:tcMar>
              <w:top w:w="0" w:type="dxa"/>
              <w:bottom w:w="0" w:type="dxa"/>
            </w:tcMar>
            <w:vAlign w:val="center"/>
          </w:tcPr>
          <w:p w14:paraId="6DDE8F49" w14:textId="77777777" w:rsidR="00110F51" w:rsidRDefault="00000000">
            <w:pPr>
              <w:keepNext/>
              <w:keepLines/>
              <w:spacing w:after="0" w:line="240" w:lineRule="auto"/>
              <w:jc w:val="right"/>
            </w:pPr>
            <w:r>
              <w:rPr>
                <w:sz w:val="18"/>
              </w:rPr>
              <w:t>1.982,20</w:t>
            </w:r>
          </w:p>
        </w:tc>
        <w:tc>
          <w:tcPr>
            <w:tcW w:w="1860" w:type="dxa"/>
            <w:tcMar>
              <w:top w:w="0" w:type="dxa"/>
              <w:bottom w:w="0" w:type="dxa"/>
            </w:tcMar>
            <w:vAlign w:val="center"/>
          </w:tcPr>
          <w:p w14:paraId="0E2BC2E8" w14:textId="77777777" w:rsidR="00110F51" w:rsidRDefault="00000000">
            <w:pPr>
              <w:keepNext/>
              <w:keepLines/>
              <w:spacing w:after="0" w:line="240" w:lineRule="auto"/>
              <w:jc w:val="right"/>
            </w:pPr>
            <w:r>
              <w:rPr>
                <w:sz w:val="18"/>
              </w:rPr>
              <w:t>2.622,98</w:t>
            </w:r>
          </w:p>
        </w:tc>
        <w:tc>
          <w:tcPr>
            <w:tcW w:w="700" w:type="dxa"/>
            <w:tcMar>
              <w:top w:w="0" w:type="dxa"/>
              <w:bottom w:w="0" w:type="dxa"/>
            </w:tcMar>
            <w:vAlign w:val="center"/>
          </w:tcPr>
          <w:p w14:paraId="3FE0FA99" w14:textId="77777777" w:rsidR="00110F51" w:rsidRDefault="00000000">
            <w:pPr>
              <w:keepNext/>
              <w:keepLines/>
              <w:spacing w:after="0" w:line="240" w:lineRule="auto"/>
              <w:jc w:val="right"/>
            </w:pPr>
            <w:r>
              <w:rPr>
                <w:sz w:val="18"/>
              </w:rPr>
              <w:t>132,3</w:t>
            </w:r>
          </w:p>
        </w:tc>
      </w:tr>
    </w:tbl>
    <w:p w14:paraId="0E21674C" w14:textId="77777777" w:rsidR="00110F51" w:rsidRDefault="00110F51">
      <w:pPr>
        <w:spacing w:after="0"/>
      </w:pPr>
    </w:p>
    <w:p w14:paraId="32847C51" w14:textId="77777777" w:rsidR="00110F51" w:rsidRDefault="00000000">
      <w:r>
        <w:t>Na povećanje od 32,3 posto najviše utječu potraživanja za više plaćeni porez na dodanu vrijednost u odnosu na 2024.</w:t>
      </w:r>
    </w:p>
    <w:p w14:paraId="1FA201A0" w14:textId="77777777" w:rsidR="00110F51" w:rsidRDefault="00110F51"/>
    <w:p w14:paraId="25251491" w14:textId="77777777" w:rsidR="00110F51"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4A6468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92D66B"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389540"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C26B94"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A5D080"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3CA021"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D805D5" w14:textId="77777777" w:rsidR="00110F51" w:rsidRDefault="00000000">
            <w:pPr>
              <w:keepNext/>
              <w:keepLines/>
              <w:spacing w:after="0" w:line="240" w:lineRule="auto"/>
              <w:jc w:val="center"/>
            </w:pPr>
            <w:r>
              <w:rPr>
                <w:b/>
                <w:sz w:val="18"/>
              </w:rPr>
              <w:t>Indeks (%)</w:t>
            </w:r>
          </w:p>
        </w:tc>
      </w:tr>
      <w:tr w:rsidR="00110F51" w14:paraId="65283CCF" w14:textId="77777777">
        <w:tblPrEx>
          <w:tblCellMar>
            <w:top w:w="0" w:type="dxa"/>
            <w:bottom w:w="0" w:type="dxa"/>
          </w:tblCellMar>
        </w:tblPrEx>
        <w:trPr>
          <w:cantSplit/>
          <w:trHeight w:val="560"/>
        </w:trPr>
        <w:tc>
          <w:tcPr>
            <w:tcW w:w="700" w:type="dxa"/>
            <w:tcMar>
              <w:top w:w="0" w:type="dxa"/>
              <w:bottom w:w="0" w:type="dxa"/>
            </w:tcMar>
            <w:vAlign w:val="center"/>
          </w:tcPr>
          <w:p w14:paraId="0915C264" w14:textId="77777777" w:rsidR="00110F51" w:rsidRDefault="00000000">
            <w:pPr>
              <w:keepNext/>
              <w:keepLines/>
              <w:spacing w:after="0" w:line="240" w:lineRule="auto"/>
            </w:pPr>
            <w:r>
              <w:rPr>
                <w:sz w:val="18"/>
              </w:rPr>
              <w:t>129</w:t>
            </w:r>
          </w:p>
        </w:tc>
        <w:tc>
          <w:tcPr>
            <w:tcW w:w="3180" w:type="dxa"/>
            <w:tcMar>
              <w:top w:w="0" w:type="dxa"/>
              <w:bottom w:w="0" w:type="dxa"/>
            </w:tcMar>
            <w:vAlign w:val="center"/>
          </w:tcPr>
          <w:p w14:paraId="22CF2D1A" w14:textId="77777777" w:rsidR="00110F51" w:rsidRDefault="00000000">
            <w:pPr>
              <w:keepNext/>
              <w:keepLines/>
              <w:spacing w:after="0" w:line="240" w:lineRule="auto"/>
            </w:pPr>
            <w:r>
              <w:rPr>
                <w:sz w:val="18"/>
              </w:rPr>
              <w:t>Ostala potraživanja</w:t>
            </w:r>
          </w:p>
        </w:tc>
        <w:tc>
          <w:tcPr>
            <w:tcW w:w="700" w:type="dxa"/>
            <w:tcMar>
              <w:top w:w="0" w:type="dxa"/>
              <w:bottom w:w="0" w:type="dxa"/>
            </w:tcMar>
            <w:vAlign w:val="center"/>
          </w:tcPr>
          <w:p w14:paraId="01020FD2" w14:textId="77777777" w:rsidR="00110F51" w:rsidRDefault="00000000">
            <w:pPr>
              <w:keepNext/>
              <w:keepLines/>
              <w:spacing w:after="0" w:line="240" w:lineRule="auto"/>
            </w:pPr>
            <w:r>
              <w:rPr>
                <w:sz w:val="18"/>
              </w:rPr>
              <w:t>129</w:t>
            </w:r>
          </w:p>
        </w:tc>
        <w:tc>
          <w:tcPr>
            <w:tcW w:w="1860" w:type="dxa"/>
            <w:tcMar>
              <w:top w:w="0" w:type="dxa"/>
              <w:bottom w:w="0" w:type="dxa"/>
            </w:tcMar>
            <w:vAlign w:val="center"/>
          </w:tcPr>
          <w:p w14:paraId="4725A8CE" w14:textId="77777777" w:rsidR="00110F51" w:rsidRDefault="00000000">
            <w:pPr>
              <w:keepNext/>
              <w:keepLines/>
              <w:spacing w:after="0" w:line="240" w:lineRule="auto"/>
              <w:jc w:val="right"/>
            </w:pPr>
            <w:r>
              <w:rPr>
                <w:sz w:val="18"/>
              </w:rPr>
              <w:t>1.982,20</w:t>
            </w:r>
          </w:p>
        </w:tc>
        <w:tc>
          <w:tcPr>
            <w:tcW w:w="1860" w:type="dxa"/>
            <w:tcMar>
              <w:top w:w="0" w:type="dxa"/>
              <w:bottom w:w="0" w:type="dxa"/>
            </w:tcMar>
            <w:vAlign w:val="center"/>
          </w:tcPr>
          <w:p w14:paraId="0AC9C58D" w14:textId="77777777" w:rsidR="00110F51" w:rsidRDefault="00000000">
            <w:pPr>
              <w:keepNext/>
              <w:keepLines/>
              <w:spacing w:after="0" w:line="240" w:lineRule="auto"/>
              <w:jc w:val="right"/>
            </w:pPr>
            <w:r>
              <w:rPr>
                <w:sz w:val="18"/>
              </w:rPr>
              <w:t>1.071,95</w:t>
            </w:r>
          </w:p>
        </w:tc>
        <w:tc>
          <w:tcPr>
            <w:tcW w:w="700" w:type="dxa"/>
            <w:tcMar>
              <w:top w:w="0" w:type="dxa"/>
              <w:bottom w:w="0" w:type="dxa"/>
            </w:tcMar>
            <w:vAlign w:val="center"/>
          </w:tcPr>
          <w:p w14:paraId="79AC6193" w14:textId="77777777" w:rsidR="00110F51" w:rsidRDefault="00000000">
            <w:pPr>
              <w:keepNext/>
              <w:keepLines/>
              <w:spacing w:after="0" w:line="240" w:lineRule="auto"/>
              <w:jc w:val="right"/>
            </w:pPr>
            <w:r>
              <w:rPr>
                <w:sz w:val="18"/>
              </w:rPr>
              <w:t>54,1</w:t>
            </w:r>
          </w:p>
        </w:tc>
      </w:tr>
    </w:tbl>
    <w:p w14:paraId="53B1CD81" w14:textId="77777777" w:rsidR="00110F51" w:rsidRDefault="00110F51">
      <w:pPr>
        <w:spacing w:after="0"/>
      </w:pPr>
    </w:p>
    <w:p w14:paraId="6725B4D0" w14:textId="77777777" w:rsidR="00110F51" w:rsidRDefault="00000000">
      <w:r>
        <w:lastRenderedPageBreak/>
        <w:t>Na smanjenje od 45,9% utjecala je dinamika refundacije bolovanja od strane HZZO-a u odnosu na 2024. godinu pa je potraživanje u 2025. godini u odnosu na HZZO niže.</w:t>
      </w:r>
    </w:p>
    <w:p w14:paraId="2C967F6F" w14:textId="77777777" w:rsidR="00110F51" w:rsidRDefault="00110F51"/>
    <w:p w14:paraId="24A38012" w14:textId="77777777" w:rsidR="00110F51"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7A10DE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74F59A"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FEDE3A"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A02346"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7603DB"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7EB0B6"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4E333F" w14:textId="77777777" w:rsidR="00110F51" w:rsidRDefault="00000000">
            <w:pPr>
              <w:keepNext/>
              <w:keepLines/>
              <w:spacing w:after="0" w:line="240" w:lineRule="auto"/>
              <w:jc w:val="center"/>
            </w:pPr>
            <w:r>
              <w:rPr>
                <w:b/>
                <w:sz w:val="18"/>
              </w:rPr>
              <w:t>Indeks (%)</w:t>
            </w:r>
          </w:p>
        </w:tc>
      </w:tr>
      <w:tr w:rsidR="00110F51" w14:paraId="6740E72E" w14:textId="77777777">
        <w:tblPrEx>
          <w:tblCellMar>
            <w:top w:w="0" w:type="dxa"/>
            <w:bottom w:w="0" w:type="dxa"/>
          </w:tblCellMar>
        </w:tblPrEx>
        <w:trPr>
          <w:cantSplit/>
          <w:trHeight w:val="560"/>
        </w:trPr>
        <w:tc>
          <w:tcPr>
            <w:tcW w:w="700" w:type="dxa"/>
            <w:tcMar>
              <w:top w:w="0" w:type="dxa"/>
              <w:bottom w:w="0" w:type="dxa"/>
            </w:tcMar>
            <w:vAlign w:val="center"/>
          </w:tcPr>
          <w:p w14:paraId="7444877A" w14:textId="77777777" w:rsidR="00110F51" w:rsidRDefault="00000000">
            <w:pPr>
              <w:keepNext/>
              <w:keepLines/>
              <w:spacing w:after="0" w:line="240" w:lineRule="auto"/>
            </w:pPr>
            <w:r>
              <w:rPr>
                <w:sz w:val="18"/>
              </w:rPr>
              <w:t>166</w:t>
            </w:r>
          </w:p>
        </w:tc>
        <w:tc>
          <w:tcPr>
            <w:tcW w:w="3180" w:type="dxa"/>
            <w:tcMar>
              <w:top w:w="0" w:type="dxa"/>
              <w:bottom w:w="0" w:type="dxa"/>
            </w:tcMar>
            <w:vAlign w:val="center"/>
          </w:tcPr>
          <w:p w14:paraId="040E56D3" w14:textId="77777777" w:rsidR="00110F51"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352587BD" w14:textId="77777777" w:rsidR="00110F51" w:rsidRDefault="00000000">
            <w:pPr>
              <w:keepNext/>
              <w:keepLines/>
              <w:spacing w:after="0" w:line="240" w:lineRule="auto"/>
            </w:pPr>
            <w:r>
              <w:rPr>
                <w:sz w:val="18"/>
              </w:rPr>
              <w:t>166</w:t>
            </w:r>
          </w:p>
        </w:tc>
        <w:tc>
          <w:tcPr>
            <w:tcW w:w="1860" w:type="dxa"/>
            <w:tcMar>
              <w:top w:w="0" w:type="dxa"/>
              <w:bottom w:w="0" w:type="dxa"/>
            </w:tcMar>
            <w:vAlign w:val="center"/>
          </w:tcPr>
          <w:p w14:paraId="7BD52224" w14:textId="77777777" w:rsidR="00110F51" w:rsidRDefault="00000000">
            <w:pPr>
              <w:keepNext/>
              <w:keepLines/>
              <w:spacing w:after="0" w:line="240" w:lineRule="auto"/>
              <w:jc w:val="right"/>
            </w:pPr>
            <w:r>
              <w:rPr>
                <w:sz w:val="18"/>
              </w:rPr>
              <w:t>6.770,50</w:t>
            </w:r>
          </w:p>
        </w:tc>
        <w:tc>
          <w:tcPr>
            <w:tcW w:w="1860" w:type="dxa"/>
            <w:tcMar>
              <w:top w:w="0" w:type="dxa"/>
              <w:bottom w:w="0" w:type="dxa"/>
            </w:tcMar>
            <w:vAlign w:val="center"/>
          </w:tcPr>
          <w:p w14:paraId="3A8BC008" w14:textId="77777777" w:rsidR="00110F51" w:rsidRDefault="00000000">
            <w:pPr>
              <w:keepNext/>
              <w:keepLines/>
              <w:spacing w:after="0" w:line="240" w:lineRule="auto"/>
              <w:jc w:val="right"/>
            </w:pPr>
            <w:r>
              <w:rPr>
                <w:sz w:val="18"/>
              </w:rPr>
              <w:t>1.902,75</w:t>
            </w:r>
          </w:p>
        </w:tc>
        <w:tc>
          <w:tcPr>
            <w:tcW w:w="700" w:type="dxa"/>
            <w:tcMar>
              <w:top w:w="0" w:type="dxa"/>
              <w:bottom w:w="0" w:type="dxa"/>
            </w:tcMar>
            <w:vAlign w:val="center"/>
          </w:tcPr>
          <w:p w14:paraId="1E52BD9D" w14:textId="77777777" w:rsidR="00110F51" w:rsidRDefault="00000000">
            <w:pPr>
              <w:keepNext/>
              <w:keepLines/>
              <w:spacing w:after="0" w:line="240" w:lineRule="auto"/>
              <w:jc w:val="right"/>
            </w:pPr>
            <w:r>
              <w:rPr>
                <w:sz w:val="18"/>
              </w:rPr>
              <w:t>28,1</w:t>
            </w:r>
          </w:p>
        </w:tc>
      </w:tr>
    </w:tbl>
    <w:p w14:paraId="3FF1C3ED" w14:textId="77777777" w:rsidR="00110F51" w:rsidRDefault="00110F51">
      <w:pPr>
        <w:spacing w:after="0"/>
      </w:pPr>
    </w:p>
    <w:p w14:paraId="38F62A5F" w14:textId="77777777" w:rsidR="00110F51" w:rsidRDefault="00000000">
      <w:r>
        <w:t>Potraživanja po osnovi prihoda od prodaje usluga u 2025. su niža za 71,9% zbog brže naplate potraživanja u istom obračunskom razdoblju kada je potraživanje nastalo, u odnosu na 2024. godinu kada je više potraživanja od prodaje usluge iz 2024. naplaćeno u 2025. godini.</w:t>
      </w:r>
    </w:p>
    <w:p w14:paraId="56C45F18" w14:textId="77777777" w:rsidR="00110F51" w:rsidRDefault="00110F51"/>
    <w:p w14:paraId="4680FABA" w14:textId="77777777" w:rsidR="00110F51"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58050E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1F97B2"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0B779C"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F85D62"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235DE8"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0D656F0"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D1FDDF" w14:textId="77777777" w:rsidR="00110F51" w:rsidRDefault="00000000">
            <w:pPr>
              <w:keepNext/>
              <w:keepLines/>
              <w:spacing w:after="0" w:line="240" w:lineRule="auto"/>
              <w:jc w:val="center"/>
            </w:pPr>
            <w:r>
              <w:rPr>
                <w:b/>
                <w:sz w:val="18"/>
              </w:rPr>
              <w:t>Indeks (%)</w:t>
            </w:r>
          </w:p>
        </w:tc>
      </w:tr>
      <w:tr w:rsidR="00110F51" w14:paraId="1F299020" w14:textId="77777777">
        <w:tblPrEx>
          <w:tblCellMar>
            <w:top w:w="0" w:type="dxa"/>
            <w:bottom w:w="0" w:type="dxa"/>
          </w:tblCellMar>
        </w:tblPrEx>
        <w:trPr>
          <w:cantSplit/>
          <w:trHeight w:val="560"/>
        </w:trPr>
        <w:tc>
          <w:tcPr>
            <w:tcW w:w="700" w:type="dxa"/>
            <w:tcMar>
              <w:top w:w="0" w:type="dxa"/>
              <w:bottom w:w="0" w:type="dxa"/>
            </w:tcMar>
            <w:vAlign w:val="center"/>
          </w:tcPr>
          <w:p w14:paraId="5516CB68" w14:textId="77777777" w:rsidR="00110F51" w:rsidRDefault="00000000">
            <w:pPr>
              <w:keepNext/>
              <w:keepLines/>
              <w:spacing w:after="0" w:line="240" w:lineRule="auto"/>
            </w:pPr>
            <w:r>
              <w:rPr>
                <w:sz w:val="18"/>
              </w:rPr>
              <w:t>232</w:t>
            </w:r>
          </w:p>
        </w:tc>
        <w:tc>
          <w:tcPr>
            <w:tcW w:w="3180" w:type="dxa"/>
            <w:tcMar>
              <w:top w:w="0" w:type="dxa"/>
              <w:bottom w:w="0" w:type="dxa"/>
            </w:tcMar>
            <w:vAlign w:val="center"/>
          </w:tcPr>
          <w:p w14:paraId="6686404D" w14:textId="77777777" w:rsidR="00110F51"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475DBCEA" w14:textId="77777777" w:rsidR="00110F51" w:rsidRDefault="00000000">
            <w:pPr>
              <w:keepNext/>
              <w:keepLines/>
              <w:spacing w:after="0" w:line="240" w:lineRule="auto"/>
            </w:pPr>
            <w:r>
              <w:rPr>
                <w:sz w:val="18"/>
              </w:rPr>
              <w:t>232</w:t>
            </w:r>
          </w:p>
        </w:tc>
        <w:tc>
          <w:tcPr>
            <w:tcW w:w="1860" w:type="dxa"/>
            <w:tcMar>
              <w:top w:w="0" w:type="dxa"/>
              <w:bottom w:w="0" w:type="dxa"/>
            </w:tcMar>
            <w:vAlign w:val="center"/>
          </w:tcPr>
          <w:p w14:paraId="722528E8" w14:textId="77777777" w:rsidR="00110F51" w:rsidRDefault="00000000">
            <w:pPr>
              <w:keepNext/>
              <w:keepLines/>
              <w:spacing w:after="0" w:line="240" w:lineRule="auto"/>
              <w:jc w:val="right"/>
            </w:pPr>
            <w:r>
              <w:rPr>
                <w:sz w:val="18"/>
              </w:rPr>
              <w:t>10.548,25</w:t>
            </w:r>
          </w:p>
        </w:tc>
        <w:tc>
          <w:tcPr>
            <w:tcW w:w="1860" w:type="dxa"/>
            <w:tcMar>
              <w:top w:w="0" w:type="dxa"/>
              <w:bottom w:w="0" w:type="dxa"/>
            </w:tcMar>
            <w:vAlign w:val="center"/>
          </w:tcPr>
          <w:p w14:paraId="169F4C90" w14:textId="77777777" w:rsidR="00110F51" w:rsidRDefault="00000000">
            <w:pPr>
              <w:keepNext/>
              <w:keepLines/>
              <w:spacing w:after="0" w:line="240" w:lineRule="auto"/>
              <w:jc w:val="right"/>
            </w:pPr>
            <w:r>
              <w:rPr>
                <w:sz w:val="18"/>
              </w:rPr>
              <w:t>13.171,27</w:t>
            </w:r>
          </w:p>
        </w:tc>
        <w:tc>
          <w:tcPr>
            <w:tcW w:w="700" w:type="dxa"/>
            <w:tcMar>
              <w:top w:w="0" w:type="dxa"/>
              <w:bottom w:w="0" w:type="dxa"/>
            </w:tcMar>
            <w:vAlign w:val="center"/>
          </w:tcPr>
          <w:p w14:paraId="7848E296" w14:textId="77777777" w:rsidR="00110F51" w:rsidRDefault="00000000">
            <w:pPr>
              <w:keepNext/>
              <w:keepLines/>
              <w:spacing w:after="0" w:line="240" w:lineRule="auto"/>
              <w:jc w:val="right"/>
            </w:pPr>
            <w:r>
              <w:rPr>
                <w:sz w:val="18"/>
              </w:rPr>
              <w:t>124,9</w:t>
            </w:r>
          </w:p>
        </w:tc>
      </w:tr>
    </w:tbl>
    <w:p w14:paraId="188AEA61" w14:textId="77777777" w:rsidR="00110F51" w:rsidRDefault="00110F51">
      <w:pPr>
        <w:spacing w:after="0"/>
      </w:pPr>
    </w:p>
    <w:p w14:paraId="244E3B0B" w14:textId="77777777" w:rsidR="00110F51" w:rsidRDefault="00000000">
      <w:r>
        <w:t>Obveze za materijalne rashode više su za 24,9% na 31.12.2025. nego na isti datum 2024. zbog većih rashoda za studentske usluge, oglašavanje na facebooku, uslugu izrade rekvizita za izložbu, usluge stručnog usvršavanja te struju i plin nastalih u prosincu 2025., a podmirenih u siječnju 2026.</w:t>
      </w:r>
    </w:p>
    <w:p w14:paraId="683BEA7D" w14:textId="77777777" w:rsidR="00110F51" w:rsidRDefault="00110F51"/>
    <w:p w14:paraId="5D9FA0EA" w14:textId="77777777" w:rsidR="00110F51"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7A9A78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ED133D"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07EA05"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A99A02"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86108D"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35B22F"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01A16C" w14:textId="77777777" w:rsidR="00110F51" w:rsidRDefault="00000000">
            <w:pPr>
              <w:keepNext/>
              <w:keepLines/>
              <w:spacing w:after="0" w:line="240" w:lineRule="auto"/>
              <w:jc w:val="center"/>
            </w:pPr>
            <w:r>
              <w:rPr>
                <w:b/>
                <w:sz w:val="18"/>
              </w:rPr>
              <w:t>Indeks (%)</w:t>
            </w:r>
          </w:p>
        </w:tc>
      </w:tr>
      <w:tr w:rsidR="00110F51" w14:paraId="7B96CDB9" w14:textId="77777777">
        <w:tblPrEx>
          <w:tblCellMar>
            <w:top w:w="0" w:type="dxa"/>
            <w:bottom w:w="0" w:type="dxa"/>
          </w:tblCellMar>
        </w:tblPrEx>
        <w:trPr>
          <w:cantSplit/>
          <w:trHeight w:val="560"/>
        </w:trPr>
        <w:tc>
          <w:tcPr>
            <w:tcW w:w="700" w:type="dxa"/>
            <w:tcMar>
              <w:top w:w="0" w:type="dxa"/>
              <w:bottom w:w="0" w:type="dxa"/>
            </w:tcMar>
            <w:vAlign w:val="center"/>
          </w:tcPr>
          <w:p w14:paraId="1316AF99" w14:textId="77777777" w:rsidR="00110F51" w:rsidRDefault="00000000">
            <w:pPr>
              <w:keepNext/>
              <w:keepLines/>
              <w:spacing w:after="0" w:line="240" w:lineRule="auto"/>
            </w:pPr>
            <w:r>
              <w:rPr>
                <w:sz w:val="18"/>
              </w:rPr>
              <w:t>239</w:t>
            </w:r>
          </w:p>
        </w:tc>
        <w:tc>
          <w:tcPr>
            <w:tcW w:w="3180" w:type="dxa"/>
            <w:tcMar>
              <w:top w:w="0" w:type="dxa"/>
              <w:bottom w:w="0" w:type="dxa"/>
            </w:tcMar>
            <w:vAlign w:val="center"/>
          </w:tcPr>
          <w:p w14:paraId="685B3840" w14:textId="77777777" w:rsidR="00110F51" w:rsidRDefault="00000000">
            <w:pPr>
              <w:keepNext/>
              <w:keepLines/>
              <w:spacing w:after="0" w:line="240" w:lineRule="auto"/>
            </w:pPr>
            <w:r>
              <w:rPr>
                <w:sz w:val="18"/>
              </w:rPr>
              <w:t>Ostale tekuće obveze</w:t>
            </w:r>
          </w:p>
        </w:tc>
        <w:tc>
          <w:tcPr>
            <w:tcW w:w="700" w:type="dxa"/>
            <w:tcMar>
              <w:top w:w="0" w:type="dxa"/>
              <w:bottom w:w="0" w:type="dxa"/>
            </w:tcMar>
            <w:vAlign w:val="center"/>
          </w:tcPr>
          <w:p w14:paraId="0E89EDE2" w14:textId="77777777" w:rsidR="00110F51" w:rsidRDefault="00000000">
            <w:pPr>
              <w:keepNext/>
              <w:keepLines/>
              <w:spacing w:after="0" w:line="240" w:lineRule="auto"/>
            </w:pPr>
            <w:r>
              <w:rPr>
                <w:sz w:val="18"/>
              </w:rPr>
              <w:t>239</w:t>
            </w:r>
          </w:p>
        </w:tc>
        <w:tc>
          <w:tcPr>
            <w:tcW w:w="1860" w:type="dxa"/>
            <w:tcMar>
              <w:top w:w="0" w:type="dxa"/>
              <w:bottom w:w="0" w:type="dxa"/>
            </w:tcMar>
            <w:vAlign w:val="center"/>
          </w:tcPr>
          <w:p w14:paraId="5C77A987" w14:textId="77777777" w:rsidR="00110F51" w:rsidRDefault="00000000">
            <w:pPr>
              <w:keepNext/>
              <w:keepLines/>
              <w:spacing w:after="0" w:line="240" w:lineRule="auto"/>
              <w:jc w:val="right"/>
            </w:pPr>
            <w:r>
              <w:rPr>
                <w:sz w:val="18"/>
              </w:rPr>
              <w:t>3.464,24</w:t>
            </w:r>
          </w:p>
        </w:tc>
        <w:tc>
          <w:tcPr>
            <w:tcW w:w="1860" w:type="dxa"/>
            <w:tcMar>
              <w:top w:w="0" w:type="dxa"/>
              <w:bottom w:w="0" w:type="dxa"/>
            </w:tcMar>
            <w:vAlign w:val="center"/>
          </w:tcPr>
          <w:p w14:paraId="75AF833F" w14:textId="77777777" w:rsidR="00110F51" w:rsidRDefault="00000000">
            <w:pPr>
              <w:keepNext/>
              <w:keepLines/>
              <w:spacing w:after="0" w:line="240" w:lineRule="auto"/>
              <w:jc w:val="right"/>
            </w:pPr>
            <w:r>
              <w:rPr>
                <w:sz w:val="18"/>
              </w:rPr>
              <w:t>1.572,45</w:t>
            </w:r>
          </w:p>
        </w:tc>
        <w:tc>
          <w:tcPr>
            <w:tcW w:w="700" w:type="dxa"/>
            <w:tcMar>
              <w:top w:w="0" w:type="dxa"/>
              <w:bottom w:w="0" w:type="dxa"/>
            </w:tcMar>
            <w:vAlign w:val="center"/>
          </w:tcPr>
          <w:p w14:paraId="694AF49B" w14:textId="77777777" w:rsidR="00110F51" w:rsidRDefault="00000000">
            <w:pPr>
              <w:keepNext/>
              <w:keepLines/>
              <w:spacing w:after="0" w:line="240" w:lineRule="auto"/>
              <w:jc w:val="right"/>
            </w:pPr>
            <w:r>
              <w:rPr>
                <w:sz w:val="18"/>
              </w:rPr>
              <w:t>45,4</w:t>
            </w:r>
          </w:p>
        </w:tc>
      </w:tr>
    </w:tbl>
    <w:p w14:paraId="635F363B" w14:textId="77777777" w:rsidR="00110F51" w:rsidRDefault="00110F51">
      <w:pPr>
        <w:spacing w:after="0"/>
      </w:pPr>
    </w:p>
    <w:p w14:paraId="56B0515F" w14:textId="77777777" w:rsidR="00110F51" w:rsidRDefault="00000000">
      <w:r>
        <w:t>Ostale tekuće obveze niže su za 54,6% u odnosu na 2024. godinu jer se zbog promjene kontnog plana u 2025. godini dio usluga sa podskupine 239 knjiži na skupini 27, kao što su obveze za predujmove i obveze proračunskih korisnika za povrat u proračun.</w:t>
      </w:r>
    </w:p>
    <w:p w14:paraId="452E7E7B" w14:textId="77777777" w:rsidR="00110F51" w:rsidRDefault="00110F51"/>
    <w:p w14:paraId="23B70DC6" w14:textId="77777777" w:rsidR="00110F51" w:rsidRDefault="00000000">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0FD2F7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983DA5"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81BF2E"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901231"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16AA68"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9431FE"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4ED1C9" w14:textId="77777777" w:rsidR="00110F51" w:rsidRDefault="00000000">
            <w:pPr>
              <w:keepNext/>
              <w:keepLines/>
              <w:spacing w:after="0" w:line="240" w:lineRule="auto"/>
              <w:jc w:val="center"/>
            </w:pPr>
            <w:r>
              <w:rPr>
                <w:b/>
                <w:sz w:val="18"/>
              </w:rPr>
              <w:t>Indeks (%)</w:t>
            </w:r>
          </w:p>
        </w:tc>
      </w:tr>
      <w:tr w:rsidR="00110F51" w14:paraId="6B60A29C" w14:textId="77777777">
        <w:tblPrEx>
          <w:tblCellMar>
            <w:top w:w="0" w:type="dxa"/>
            <w:bottom w:w="0" w:type="dxa"/>
          </w:tblCellMar>
        </w:tblPrEx>
        <w:trPr>
          <w:cantSplit/>
          <w:trHeight w:val="560"/>
        </w:trPr>
        <w:tc>
          <w:tcPr>
            <w:tcW w:w="700" w:type="dxa"/>
            <w:tcMar>
              <w:top w:w="0" w:type="dxa"/>
              <w:bottom w:w="0" w:type="dxa"/>
            </w:tcMar>
            <w:vAlign w:val="center"/>
          </w:tcPr>
          <w:p w14:paraId="2B63DC97" w14:textId="77777777" w:rsidR="00110F51" w:rsidRDefault="00000000">
            <w:pPr>
              <w:keepNext/>
              <w:keepLines/>
              <w:spacing w:after="0" w:line="240" w:lineRule="auto"/>
            </w:pPr>
            <w:r>
              <w:rPr>
                <w:sz w:val="18"/>
              </w:rPr>
              <w:t>922</w:t>
            </w:r>
          </w:p>
        </w:tc>
        <w:tc>
          <w:tcPr>
            <w:tcW w:w="3180" w:type="dxa"/>
            <w:tcMar>
              <w:top w:w="0" w:type="dxa"/>
              <w:bottom w:w="0" w:type="dxa"/>
            </w:tcMar>
            <w:vAlign w:val="center"/>
          </w:tcPr>
          <w:p w14:paraId="3112693E" w14:textId="77777777" w:rsidR="00110F51"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2A5C47F1" w14:textId="77777777" w:rsidR="00110F51" w:rsidRDefault="00000000">
            <w:pPr>
              <w:keepNext/>
              <w:keepLines/>
              <w:spacing w:after="0" w:line="240" w:lineRule="auto"/>
            </w:pPr>
            <w:r>
              <w:rPr>
                <w:sz w:val="18"/>
              </w:rPr>
              <w:t>922</w:t>
            </w:r>
          </w:p>
        </w:tc>
        <w:tc>
          <w:tcPr>
            <w:tcW w:w="1860" w:type="dxa"/>
            <w:tcMar>
              <w:top w:w="0" w:type="dxa"/>
              <w:bottom w:w="0" w:type="dxa"/>
            </w:tcMar>
            <w:vAlign w:val="center"/>
          </w:tcPr>
          <w:p w14:paraId="3140A8EA" w14:textId="77777777" w:rsidR="00110F51" w:rsidRDefault="00000000">
            <w:pPr>
              <w:keepNext/>
              <w:keepLines/>
              <w:spacing w:after="0" w:line="240" w:lineRule="auto"/>
              <w:jc w:val="right"/>
            </w:pPr>
            <w:r>
              <w:rPr>
                <w:sz w:val="18"/>
              </w:rPr>
              <w:t>16.259,96</w:t>
            </w:r>
          </w:p>
        </w:tc>
        <w:tc>
          <w:tcPr>
            <w:tcW w:w="1860" w:type="dxa"/>
            <w:tcMar>
              <w:top w:w="0" w:type="dxa"/>
              <w:bottom w:w="0" w:type="dxa"/>
            </w:tcMar>
            <w:vAlign w:val="center"/>
          </w:tcPr>
          <w:p w14:paraId="189CF3F9" w14:textId="77777777" w:rsidR="00110F51" w:rsidRDefault="00000000">
            <w:pPr>
              <w:keepNext/>
              <w:keepLines/>
              <w:spacing w:after="0" w:line="240" w:lineRule="auto"/>
              <w:jc w:val="right"/>
            </w:pPr>
            <w:r>
              <w:rPr>
                <w:sz w:val="18"/>
              </w:rPr>
              <w:t>6.171,38</w:t>
            </w:r>
          </w:p>
        </w:tc>
        <w:tc>
          <w:tcPr>
            <w:tcW w:w="700" w:type="dxa"/>
            <w:tcMar>
              <w:top w:w="0" w:type="dxa"/>
              <w:bottom w:w="0" w:type="dxa"/>
            </w:tcMar>
            <w:vAlign w:val="center"/>
          </w:tcPr>
          <w:p w14:paraId="58485E90" w14:textId="77777777" w:rsidR="00110F51" w:rsidRDefault="00000000">
            <w:pPr>
              <w:keepNext/>
              <w:keepLines/>
              <w:spacing w:after="0" w:line="240" w:lineRule="auto"/>
              <w:jc w:val="right"/>
            </w:pPr>
            <w:r>
              <w:rPr>
                <w:sz w:val="18"/>
              </w:rPr>
              <w:t>38,0</w:t>
            </w:r>
          </w:p>
        </w:tc>
      </w:tr>
    </w:tbl>
    <w:p w14:paraId="754B34E1" w14:textId="77777777" w:rsidR="00110F51" w:rsidRDefault="00110F51">
      <w:pPr>
        <w:spacing w:after="0"/>
      </w:pPr>
    </w:p>
    <w:p w14:paraId="61387F77" w14:textId="77777777" w:rsidR="00110F51" w:rsidRDefault="00000000">
      <w:r>
        <w:t>Ustanova na 31. prosinca 2025. bilježi rezultat viška prihoda i primitaka raspoloživ u sljedećem razdoblju koji iznosi 6.171.38 eura i čine ga preneseni višak od 16.259,96 eura umanjen za manjak prihoda u 2025. godini od 10.088,58 eura. U odnosu na prethodno razdoblje iste godine, odnosno na početno stanje na 1. siječnja 2025. manji je za 62,0% prvenstveno zbog prihoda po osnovi partnerstva u EU projektu od 72.536,80 eura koji je značajno utjecao na ukupan prihod ustanove u prethodnom razdoblju te na ukupni višak prihoda, iako su u 2025. godini na pokriće metodološkog manjka prihoda značajno utjecali i prihodi od prodaje usluga ustanove.</w:t>
      </w:r>
    </w:p>
    <w:p w14:paraId="4F7EEF71" w14:textId="77777777" w:rsidR="00110F51" w:rsidRDefault="00110F51"/>
    <w:p w14:paraId="53B49B84" w14:textId="77777777" w:rsidR="00110F51"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11C7E0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BEEC25"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763571"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ECD60A"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DC1AFE"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04740D"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E4FCEC" w14:textId="77777777" w:rsidR="00110F51" w:rsidRDefault="00000000">
            <w:pPr>
              <w:keepNext/>
              <w:keepLines/>
              <w:spacing w:after="0" w:line="240" w:lineRule="auto"/>
              <w:jc w:val="center"/>
            </w:pPr>
            <w:r>
              <w:rPr>
                <w:b/>
                <w:sz w:val="18"/>
              </w:rPr>
              <w:t>Indeks (%)</w:t>
            </w:r>
          </w:p>
        </w:tc>
      </w:tr>
      <w:tr w:rsidR="00110F51" w14:paraId="0CEFABA2" w14:textId="77777777">
        <w:tblPrEx>
          <w:tblCellMar>
            <w:top w:w="0" w:type="dxa"/>
            <w:bottom w:w="0" w:type="dxa"/>
          </w:tblCellMar>
        </w:tblPrEx>
        <w:trPr>
          <w:cantSplit/>
          <w:trHeight w:val="560"/>
        </w:trPr>
        <w:tc>
          <w:tcPr>
            <w:tcW w:w="700" w:type="dxa"/>
            <w:tcMar>
              <w:top w:w="0" w:type="dxa"/>
              <w:bottom w:w="0" w:type="dxa"/>
            </w:tcMar>
            <w:vAlign w:val="center"/>
          </w:tcPr>
          <w:p w14:paraId="3C01FDE5" w14:textId="77777777" w:rsidR="00110F51" w:rsidRDefault="00000000">
            <w:pPr>
              <w:keepNext/>
              <w:keepLines/>
              <w:spacing w:after="0" w:line="240" w:lineRule="auto"/>
            </w:pPr>
            <w:r>
              <w:rPr>
                <w:sz w:val="18"/>
              </w:rPr>
              <w:t>96</w:t>
            </w:r>
          </w:p>
        </w:tc>
        <w:tc>
          <w:tcPr>
            <w:tcW w:w="3180" w:type="dxa"/>
            <w:tcMar>
              <w:top w:w="0" w:type="dxa"/>
              <w:bottom w:w="0" w:type="dxa"/>
            </w:tcMar>
            <w:vAlign w:val="center"/>
          </w:tcPr>
          <w:p w14:paraId="33761FDF" w14:textId="77777777" w:rsidR="00110F51"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55B17425" w14:textId="77777777" w:rsidR="00110F51" w:rsidRDefault="00000000">
            <w:pPr>
              <w:keepNext/>
              <w:keepLines/>
              <w:spacing w:after="0" w:line="240" w:lineRule="auto"/>
            </w:pPr>
            <w:r>
              <w:rPr>
                <w:sz w:val="18"/>
              </w:rPr>
              <w:t>96</w:t>
            </w:r>
          </w:p>
        </w:tc>
        <w:tc>
          <w:tcPr>
            <w:tcW w:w="1860" w:type="dxa"/>
            <w:tcMar>
              <w:top w:w="0" w:type="dxa"/>
              <w:bottom w:w="0" w:type="dxa"/>
            </w:tcMar>
            <w:vAlign w:val="center"/>
          </w:tcPr>
          <w:p w14:paraId="13C189E2" w14:textId="77777777" w:rsidR="00110F51" w:rsidRDefault="00000000">
            <w:pPr>
              <w:keepNext/>
              <w:keepLines/>
              <w:spacing w:after="0" w:line="240" w:lineRule="auto"/>
              <w:jc w:val="right"/>
            </w:pPr>
            <w:r>
              <w:rPr>
                <w:sz w:val="18"/>
              </w:rPr>
              <w:t>5.374,00</w:t>
            </w:r>
          </w:p>
        </w:tc>
        <w:tc>
          <w:tcPr>
            <w:tcW w:w="1860" w:type="dxa"/>
            <w:tcMar>
              <w:top w:w="0" w:type="dxa"/>
              <w:bottom w:w="0" w:type="dxa"/>
            </w:tcMar>
            <w:vAlign w:val="center"/>
          </w:tcPr>
          <w:p w14:paraId="02D35FCC" w14:textId="77777777" w:rsidR="00110F51" w:rsidRDefault="00000000">
            <w:pPr>
              <w:keepNext/>
              <w:keepLines/>
              <w:spacing w:after="0" w:line="240" w:lineRule="auto"/>
              <w:jc w:val="right"/>
            </w:pPr>
            <w:r>
              <w:rPr>
                <w:sz w:val="18"/>
              </w:rPr>
              <w:t>1.479,79</w:t>
            </w:r>
          </w:p>
        </w:tc>
        <w:tc>
          <w:tcPr>
            <w:tcW w:w="700" w:type="dxa"/>
            <w:tcMar>
              <w:top w:w="0" w:type="dxa"/>
              <w:bottom w:w="0" w:type="dxa"/>
            </w:tcMar>
            <w:vAlign w:val="center"/>
          </w:tcPr>
          <w:p w14:paraId="020ECD89" w14:textId="77777777" w:rsidR="00110F51" w:rsidRDefault="00000000">
            <w:pPr>
              <w:keepNext/>
              <w:keepLines/>
              <w:spacing w:after="0" w:line="240" w:lineRule="auto"/>
              <w:jc w:val="right"/>
            </w:pPr>
            <w:r>
              <w:rPr>
                <w:sz w:val="18"/>
              </w:rPr>
              <w:t>27,5</w:t>
            </w:r>
          </w:p>
        </w:tc>
      </w:tr>
    </w:tbl>
    <w:p w14:paraId="61982C6D" w14:textId="77777777" w:rsidR="00110F51" w:rsidRDefault="00110F51">
      <w:pPr>
        <w:spacing w:after="0"/>
      </w:pPr>
    </w:p>
    <w:p w14:paraId="25ED4E39" w14:textId="77777777" w:rsidR="00110F51" w:rsidRDefault="00000000">
      <w:r>
        <w:t>Obračunati prihodi poslovanja na 31.12.2025. niži su za 72,5% u odnosu na stanje na 31.12.2024. zbog toga što su prihodi poslovanja u 2025. godini većim dijelom ostvareni/naplaćeni u istom obračunskom razdoblju, nego u 2024. godini kada je bilo više obračunatih prihoda u 2024. koji su naplaćeni u sljedećem obračunskom razdoblju. Odnosi se na prihode od prodaje usluga privremenog korištenja velike dvorane Hrvatskog kulturnog doma na Sušaku.</w:t>
      </w:r>
    </w:p>
    <w:p w14:paraId="1BDEB54E" w14:textId="77777777" w:rsidR="00110F51" w:rsidRDefault="00110F51"/>
    <w:p w14:paraId="49DE2795" w14:textId="77777777" w:rsidR="00110F51"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07C960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A16C72"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CA5224"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BE0B2A"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BF2D2A"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34751B"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7D6647" w14:textId="77777777" w:rsidR="00110F51" w:rsidRDefault="00000000">
            <w:pPr>
              <w:keepNext/>
              <w:keepLines/>
              <w:spacing w:after="0" w:line="240" w:lineRule="auto"/>
              <w:jc w:val="center"/>
            </w:pPr>
            <w:r>
              <w:rPr>
                <w:b/>
                <w:sz w:val="18"/>
              </w:rPr>
              <w:t>Indeks (%)</w:t>
            </w:r>
          </w:p>
        </w:tc>
      </w:tr>
      <w:tr w:rsidR="00110F51" w14:paraId="2569E5D6" w14:textId="77777777">
        <w:tblPrEx>
          <w:tblCellMar>
            <w:top w:w="0" w:type="dxa"/>
            <w:bottom w:w="0" w:type="dxa"/>
          </w:tblCellMar>
        </w:tblPrEx>
        <w:trPr>
          <w:cantSplit/>
          <w:trHeight w:val="560"/>
        </w:trPr>
        <w:tc>
          <w:tcPr>
            <w:tcW w:w="700" w:type="dxa"/>
            <w:tcMar>
              <w:top w:w="0" w:type="dxa"/>
              <w:bottom w:w="0" w:type="dxa"/>
            </w:tcMar>
            <w:vAlign w:val="center"/>
          </w:tcPr>
          <w:p w14:paraId="538CA1C1" w14:textId="77777777" w:rsidR="00110F51" w:rsidRDefault="00000000">
            <w:pPr>
              <w:keepNext/>
              <w:keepLines/>
              <w:spacing w:after="0" w:line="240" w:lineRule="auto"/>
            </w:pPr>
            <w:r>
              <w:rPr>
                <w:sz w:val="18"/>
              </w:rPr>
              <w:t>991</w:t>
            </w:r>
          </w:p>
        </w:tc>
        <w:tc>
          <w:tcPr>
            <w:tcW w:w="3180" w:type="dxa"/>
            <w:tcMar>
              <w:top w:w="0" w:type="dxa"/>
              <w:bottom w:w="0" w:type="dxa"/>
            </w:tcMar>
            <w:vAlign w:val="center"/>
          </w:tcPr>
          <w:p w14:paraId="55265BD4" w14:textId="77777777" w:rsidR="00110F51"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3B9DB160" w14:textId="77777777" w:rsidR="00110F51" w:rsidRDefault="00000000">
            <w:pPr>
              <w:keepNext/>
              <w:keepLines/>
              <w:spacing w:after="0" w:line="240" w:lineRule="auto"/>
            </w:pPr>
            <w:r>
              <w:rPr>
                <w:sz w:val="18"/>
              </w:rPr>
              <w:t>991</w:t>
            </w:r>
          </w:p>
        </w:tc>
        <w:tc>
          <w:tcPr>
            <w:tcW w:w="1860" w:type="dxa"/>
            <w:tcMar>
              <w:top w:w="0" w:type="dxa"/>
              <w:bottom w:w="0" w:type="dxa"/>
            </w:tcMar>
            <w:vAlign w:val="center"/>
          </w:tcPr>
          <w:p w14:paraId="2BAA9627" w14:textId="77777777" w:rsidR="00110F51" w:rsidRDefault="00000000">
            <w:pPr>
              <w:keepNext/>
              <w:keepLines/>
              <w:spacing w:after="0" w:line="240" w:lineRule="auto"/>
              <w:jc w:val="right"/>
            </w:pPr>
            <w:r>
              <w:rPr>
                <w:sz w:val="18"/>
              </w:rPr>
              <w:t>418.641,30</w:t>
            </w:r>
          </w:p>
        </w:tc>
        <w:tc>
          <w:tcPr>
            <w:tcW w:w="1860" w:type="dxa"/>
            <w:tcMar>
              <w:top w:w="0" w:type="dxa"/>
              <w:bottom w:w="0" w:type="dxa"/>
            </w:tcMar>
            <w:vAlign w:val="center"/>
          </w:tcPr>
          <w:p w14:paraId="4A4F2DAF" w14:textId="77777777" w:rsidR="00110F51" w:rsidRDefault="00000000">
            <w:pPr>
              <w:keepNext/>
              <w:keepLines/>
              <w:spacing w:after="0" w:line="240" w:lineRule="auto"/>
              <w:jc w:val="right"/>
            </w:pPr>
            <w:r>
              <w:rPr>
                <w:sz w:val="18"/>
              </w:rPr>
              <w:t>2.717.081,91</w:t>
            </w:r>
          </w:p>
        </w:tc>
        <w:tc>
          <w:tcPr>
            <w:tcW w:w="700" w:type="dxa"/>
            <w:tcMar>
              <w:top w:w="0" w:type="dxa"/>
              <w:bottom w:w="0" w:type="dxa"/>
            </w:tcMar>
            <w:vAlign w:val="center"/>
          </w:tcPr>
          <w:p w14:paraId="5A987268" w14:textId="77777777" w:rsidR="00110F51" w:rsidRDefault="00000000">
            <w:pPr>
              <w:keepNext/>
              <w:keepLines/>
              <w:spacing w:after="0" w:line="240" w:lineRule="auto"/>
              <w:jc w:val="right"/>
            </w:pPr>
            <w:r>
              <w:rPr>
                <w:sz w:val="18"/>
              </w:rPr>
              <w:t>649,0</w:t>
            </w:r>
          </w:p>
        </w:tc>
      </w:tr>
    </w:tbl>
    <w:p w14:paraId="6AA3055A" w14:textId="77777777" w:rsidR="00110F51" w:rsidRDefault="00110F51">
      <w:pPr>
        <w:spacing w:after="0"/>
      </w:pPr>
    </w:p>
    <w:p w14:paraId="0B1139E5" w14:textId="77777777" w:rsidR="00110F51" w:rsidRDefault="00000000">
      <w:r>
        <w:t>U 2025. godini bilježi se izvanbilančni zapis koji se odnosi na imovinu Grada Rijeke danu na korištenje Hrvatskom kulturnom domu na Sušaku, a sastoji se od zgrade Hrvatskog kulturnog doma na Sušaku, prostora u Križanićevoj ulici 6a u Rijeci, dizala za osobe u invalidskim kolicima, komponente sustava za daljinsko očitavanje ICT sustava, uredske i ostale opreme. Iznos od 30.134,20 eura odnosi se na potraživanja po sklopljenim Ugovorima za EU projekte Moving Balkans i Aerowaves za 2026. i 2027. godinu.</w:t>
      </w:r>
    </w:p>
    <w:p w14:paraId="2EE6C4C2" w14:textId="77777777" w:rsidR="00110F51" w:rsidRDefault="00000000">
      <w:r>
        <w:lastRenderedPageBreak/>
        <w:t>Iznos je veći u odnosu na početno stanje 2025. godine zbog promjene načina evidentiranja izvanbilančnih zapisa u 2025. godini.</w:t>
      </w:r>
    </w:p>
    <w:p w14:paraId="661713A7" w14:textId="77777777" w:rsidR="00110F51" w:rsidRDefault="00110F51"/>
    <w:p w14:paraId="1E59CAF5" w14:textId="77777777" w:rsidR="00110F51"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225092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CBD1F2"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4232EB"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A81A8B"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0F10AE"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FF8FF1"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441FB3F" w14:textId="77777777" w:rsidR="00110F51" w:rsidRDefault="00000000">
            <w:pPr>
              <w:keepNext/>
              <w:keepLines/>
              <w:spacing w:after="0" w:line="240" w:lineRule="auto"/>
              <w:jc w:val="center"/>
            </w:pPr>
            <w:r>
              <w:rPr>
                <w:b/>
                <w:sz w:val="18"/>
              </w:rPr>
              <w:t>Indeks (%)</w:t>
            </w:r>
          </w:p>
        </w:tc>
      </w:tr>
      <w:tr w:rsidR="00110F51" w14:paraId="26C245FC" w14:textId="77777777">
        <w:tblPrEx>
          <w:tblCellMar>
            <w:top w:w="0" w:type="dxa"/>
            <w:bottom w:w="0" w:type="dxa"/>
          </w:tblCellMar>
        </w:tblPrEx>
        <w:trPr>
          <w:cantSplit/>
          <w:trHeight w:val="560"/>
        </w:trPr>
        <w:tc>
          <w:tcPr>
            <w:tcW w:w="700" w:type="dxa"/>
            <w:tcMar>
              <w:top w:w="0" w:type="dxa"/>
              <w:bottom w:w="0" w:type="dxa"/>
            </w:tcMar>
            <w:vAlign w:val="center"/>
          </w:tcPr>
          <w:p w14:paraId="08207ADE" w14:textId="77777777" w:rsidR="00110F51" w:rsidRDefault="00000000">
            <w:pPr>
              <w:keepNext/>
              <w:keepLines/>
              <w:spacing w:after="0" w:line="240" w:lineRule="auto"/>
            </w:pPr>
            <w:r>
              <w:rPr>
                <w:sz w:val="18"/>
              </w:rPr>
              <w:t>dio 16</w:t>
            </w:r>
          </w:p>
        </w:tc>
        <w:tc>
          <w:tcPr>
            <w:tcW w:w="3180" w:type="dxa"/>
            <w:tcMar>
              <w:top w:w="0" w:type="dxa"/>
              <w:bottom w:w="0" w:type="dxa"/>
            </w:tcMar>
            <w:vAlign w:val="center"/>
          </w:tcPr>
          <w:p w14:paraId="61164D0B" w14:textId="77777777" w:rsidR="00110F51" w:rsidRDefault="00000000">
            <w:pPr>
              <w:keepNext/>
              <w:keepLines/>
              <w:spacing w:after="0" w:line="240" w:lineRule="auto"/>
            </w:pPr>
            <w:r>
              <w:rPr>
                <w:sz w:val="18"/>
              </w:rPr>
              <w:t>Potraživanja za prihode poslovanja - dospjela</w:t>
            </w:r>
          </w:p>
        </w:tc>
        <w:tc>
          <w:tcPr>
            <w:tcW w:w="700" w:type="dxa"/>
            <w:tcMar>
              <w:top w:w="0" w:type="dxa"/>
              <w:bottom w:w="0" w:type="dxa"/>
            </w:tcMar>
            <w:vAlign w:val="center"/>
          </w:tcPr>
          <w:p w14:paraId="2F969A41" w14:textId="77777777" w:rsidR="00110F51" w:rsidRDefault="00000000">
            <w:pPr>
              <w:keepNext/>
              <w:keepLines/>
              <w:spacing w:after="0" w:line="240" w:lineRule="auto"/>
            </w:pPr>
            <w:r>
              <w:rPr>
                <w:sz w:val="18"/>
              </w:rPr>
              <w:t>dio 16 D</w:t>
            </w:r>
          </w:p>
        </w:tc>
        <w:tc>
          <w:tcPr>
            <w:tcW w:w="1860" w:type="dxa"/>
            <w:tcMar>
              <w:top w:w="0" w:type="dxa"/>
              <w:bottom w:w="0" w:type="dxa"/>
            </w:tcMar>
            <w:vAlign w:val="center"/>
          </w:tcPr>
          <w:p w14:paraId="3FA881BC" w14:textId="77777777" w:rsidR="00110F51" w:rsidRDefault="00000000">
            <w:pPr>
              <w:keepNext/>
              <w:keepLines/>
              <w:spacing w:after="0" w:line="240" w:lineRule="auto"/>
              <w:jc w:val="right"/>
            </w:pPr>
            <w:r>
              <w:rPr>
                <w:sz w:val="18"/>
              </w:rPr>
              <w:t>6.770,50</w:t>
            </w:r>
          </w:p>
        </w:tc>
        <w:tc>
          <w:tcPr>
            <w:tcW w:w="1860" w:type="dxa"/>
            <w:tcMar>
              <w:top w:w="0" w:type="dxa"/>
              <w:bottom w:w="0" w:type="dxa"/>
            </w:tcMar>
            <w:vAlign w:val="center"/>
          </w:tcPr>
          <w:p w14:paraId="3E85E622" w14:textId="77777777" w:rsidR="00110F51" w:rsidRDefault="00000000">
            <w:pPr>
              <w:keepNext/>
              <w:keepLines/>
              <w:spacing w:after="0" w:line="240" w:lineRule="auto"/>
              <w:jc w:val="right"/>
            </w:pPr>
            <w:r>
              <w:rPr>
                <w:sz w:val="18"/>
              </w:rPr>
              <w:t>1.902,85</w:t>
            </w:r>
          </w:p>
        </w:tc>
        <w:tc>
          <w:tcPr>
            <w:tcW w:w="700" w:type="dxa"/>
            <w:tcMar>
              <w:top w:w="0" w:type="dxa"/>
              <w:bottom w:w="0" w:type="dxa"/>
            </w:tcMar>
            <w:vAlign w:val="center"/>
          </w:tcPr>
          <w:p w14:paraId="31DA8237" w14:textId="77777777" w:rsidR="00110F51" w:rsidRDefault="00000000">
            <w:pPr>
              <w:keepNext/>
              <w:keepLines/>
              <w:spacing w:after="0" w:line="240" w:lineRule="auto"/>
              <w:jc w:val="right"/>
            </w:pPr>
            <w:r>
              <w:rPr>
                <w:sz w:val="18"/>
              </w:rPr>
              <w:t>28,1</w:t>
            </w:r>
          </w:p>
        </w:tc>
      </w:tr>
    </w:tbl>
    <w:p w14:paraId="06038B66" w14:textId="77777777" w:rsidR="00110F51" w:rsidRDefault="00110F51">
      <w:pPr>
        <w:spacing w:after="0"/>
      </w:pPr>
    </w:p>
    <w:p w14:paraId="51077A08" w14:textId="77777777" w:rsidR="00110F51" w:rsidRDefault="00000000">
      <w:r>
        <w:t>Potraživanja po osnovi prihoda od prodaje usluga u 2025. koja su dospjela su niža za 71,9% zbog brže naplate potraživanja u istom obračunskom razdoblju kada je potraživanje nastalo, u odnosu na 2024. godinu kada je više potraživanja od prodaje usluge iz 2024. naplaćeno u 2025. godini.</w:t>
      </w:r>
    </w:p>
    <w:p w14:paraId="26E164AB" w14:textId="77777777" w:rsidR="00110F51" w:rsidRDefault="00000000">
      <w:r>
        <w:t>Za iznos od 1.746,50 eura dospjelih potraživanja po osnovi prihoda od prodaje usluga pokrenut je postupak ovrhe prema korisnicima usluge.</w:t>
      </w:r>
    </w:p>
    <w:p w14:paraId="2FDFACD8" w14:textId="77777777" w:rsidR="00110F51" w:rsidRDefault="00110F51"/>
    <w:p w14:paraId="32F6A134" w14:textId="77777777" w:rsidR="00110F51"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33B6F9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930D5A"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73F7C8"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F59571"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72C519"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004100"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CA6CA7" w14:textId="77777777" w:rsidR="00110F51" w:rsidRDefault="00000000">
            <w:pPr>
              <w:keepNext/>
              <w:keepLines/>
              <w:spacing w:after="0" w:line="240" w:lineRule="auto"/>
              <w:jc w:val="center"/>
            </w:pPr>
            <w:r>
              <w:rPr>
                <w:b/>
                <w:sz w:val="18"/>
              </w:rPr>
              <w:t>Indeks (%)</w:t>
            </w:r>
          </w:p>
        </w:tc>
      </w:tr>
      <w:tr w:rsidR="00110F51" w14:paraId="0596A912" w14:textId="77777777">
        <w:tblPrEx>
          <w:tblCellMar>
            <w:top w:w="0" w:type="dxa"/>
            <w:bottom w:w="0" w:type="dxa"/>
          </w:tblCellMar>
        </w:tblPrEx>
        <w:trPr>
          <w:cantSplit/>
          <w:trHeight w:val="560"/>
        </w:trPr>
        <w:tc>
          <w:tcPr>
            <w:tcW w:w="700" w:type="dxa"/>
            <w:tcMar>
              <w:top w:w="0" w:type="dxa"/>
              <w:bottom w:w="0" w:type="dxa"/>
            </w:tcMar>
            <w:vAlign w:val="center"/>
          </w:tcPr>
          <w:p w14:paraId="0D89558E" w14:textId="77777777" w:rsidR="00110F51" w:rsidRDefault="00000000">
            <w:pPr>
              <w:keepNext/>
              <w:keepLines/>
              <w:spacing w:after="0" w:line="240" w:lineRule="auto"/>
            </w:pPr>
            <w:r>
              <w:rPr>
                <w:sz w:val="18"/>
              </w:rPr>
              <w:t>12911</w:t>
            </w:r>
          </w:p>
        </w:tc>
        <w:tc>
          <w:tcPr>
            <w:tcW w:w="3180" w:type="dxa"/>
            <w:tcMar>
              <w:top w:w="0" w:type="dxa"/>
              <w:bottom w:w="0" w:type="dxa"/>
            </w:tcMar>
            <w:vAlign w:val="center"/>
          </w:tcPr>
          <w:p w14:paraId="68A3EA39" w14:textId="77777777" w:rsidR="00110F51" w:rsidRDefault="00000000">
            <w:pPr>
              <w:keepNext/>
              <w:keepLines/>
              <w:spacing w:after="0" w:line="240" w:lineRule="auto"/>
            </w:pPr>
            <w:r>
              <w:rPr>
                <w:sz w:val="18"/>
              </w:rPr>
              <w:t>Potraživanja za naknade koje se refundiraju</w:t>
            </w:r>
          </w:p>
        </w:tc>
        <w:tc>
          <w:tcPr>
            <w:tcW w:w="700" w:type="dxa"/>
            <w:tcMar>
              <w:top w:w="0" w:type="dxa"/>
              <w:bottom w:w="0" w:type="dxa"/>
            </w:tcMar>
            <w:vAlign w:val="center"/>
          </w:tcPr>
          <w:p w14:paraId="735D6B0A" w14:textId="77777777" w:rsidR="00110F51" w:rsidRDefault="00000000">
            <w:pPr>
              <w:keepNext/>
              <w:keepLines/>
              <w:spacing w:after="0" w:line="240" w:lineRule="auto"/>
            </w:pPr>
            <w:r>
              <w:rPr>
                <w:sz w:val="18"/>
              </w:rPr>
              <w:t>12911</w:t>
            </w:r>
          </w:p>
        </w:tc>
        <w:tc>
          <w:tcPr>
            <w:tcW w:w="1860" w:type="dxa"/>
            <w:tcMar>
              <w:top w:w="0" w:type="dxa"/>
              <w:bottom w:w="0" w:type="dxa"/>
            </w:tcMar>
            <w:vAlign w:val="center"/>
          </w:tcPr>
          <w:p w14:paraId="61E052C5" w14:textId="77777777" w:rsidR="00110F51" w:rsidRDefault="00000000">
            <w:pPr>
              <w:keepNext/>
              <w:keepLines/>
              <w:spacing w:after="0" w:line="240" w:lineRule="auto"/>
              <w:jc w:val="right"/>
            </w:pPr>
            <w:r>
              <w:rPr>
                <w:sz w:val="18"/>
              </w:rPr>
              <w:t>1.982,20</w:t>
            </w:r>
          </w:p>
        </w:tc>
        <w:tc>
          <w:tcPr>
            <w:tcW w:w="1860" w:type="dxa"/>
            <w:tcMar>
              <w:top w:w="0" w:type="dxa"/>
              <w:bottom w:w="0" w:type="dxa"/>
            </w:tcMar>
            <w:vAlign w:val="center"/>
          </w:tcPr>
          <w:p w14:paraId="75D43E62" w14:textId="77777777" w:rsidR="00110F51" w:rsidRDefault="00000000">
            <w:pPr>
              <w:keepNext/>
              <w:keepLines/>
              <w:spacing w:after="0" w:line="240" w:lineRule="auto"/>
              <w:jc w:val="right"/>
            </w:pPr>
            <w:r>
              <w:rPr>
                <w:sz w:val="18"/>
              </w:rPr>
              <w:t>1.059,45</w:t>
            </w:r>
          </w:p>
        </w:tc>
        <w:tc>
          <w:tcPr>
            <w:tcW w:w="700" w:type="dxa"/>
            <w:tcMar>
              <w:top w:w="0" w:type="dxa"/>
              <w:bottom w:w="0" w:type="dxa"/>
            </w:tcMar>
            <w:vAlign w:val="center"/>
          </w:tcPr>
          <w:p w14:paraId="6A6A283D" w14:textId="77777777" w:rsidR="00110F51" w:rsidRDefault="00000000">
            <w:pPr>
              <w:keepNext/>
              <w:keepLines/>
              <w:spacing w:after="0" w:line="240" w:lineRule="auto"/>
              <w:jc w:val="right"/>
            </w:pPr>
            <w:r>
              <w:rPr>
                <w:sz w:val="18"/>
              </w:rPr>
              <w:t>53,4</w:t>
            </w:r>
          </w:p>
        </w:tc>
      </w:tr>
    </w:tbl>
    <w:p w14:paraId="7FE0C325" w14:textId="77777777" w:rsidR="00110F51" w:rsidRDefault="00110F51">
      <w:pPr>
        <w:spacing w:after="0"/>
      </w:pPr>
    </w:p>
    <w:p w14:paraId="6CAB57B4" w14:textId="77777777" w:rsidR="00110F51" w:rsidRDefault="00000000">
      <w:r>
        <w:t>Potraživanja za naknade koje se refundiraju odnose se na refundacije za bolovanja od strane HZZO-a, a niža su za 46,60% u odnosu na stanje 1. siječnja 2025. zbog drugačije dinamike isplate refundacija od HZZO-a u 2024. u odnosu na 2025.</w:t>
      </w:r>
    </w:p>
    <w:p w14:paraId="04507893" w14:textId="77777777" w:rsidR="00110F51" w:rsidRDefault="00110F51"/>
    <w:p w14:paraId="1E2E4D56" w14:textId="77777777" w:rsidR="00110F51"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6CE943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599CFA"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E820A1"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387312"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A31DF4"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C0FE1F"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E1B4FF" w14:textId="77777777" w:rsidR="00110F51" w:rsidRDefault="00000000">
            <w:pPr>
              <w:keepNext/>
              <w:keepLines/>
              <w:spacing w:after="0" w:line="240" w:lineRule="auto"/>
              <w:jc w:val="center"/>
            </w:pPr>
            <w:r>
              <w:rPr>
                <w:b/>
                <w:sz w:val="18"/>
              </w:rPr>
              <w:t>Indeks (%)</w:t>
            </w:r>
          </w:p>
        </w:tc>
      </w:tr>
      <w:tr w:rsidR="00110F51" w14:paraId="2C27310F" w14:textId="77777777">
        <w:tblPrEx>
          <w:tblCellMar>
            <w:top w:w="0" w:type="dxa"/>
            <w:bottom w:w="0" w:type="dxa"/>
          </w:tblCellMar>
        </w:tblPrEx>
        <w:trPr>
          <w:cantSplit/>
          <w:trHeight w:val="560"/>
        </w:trPr>
        <w:tc>
          <w:tcPr>
            <w:tcW w:w="700" w:type="dxa"/>
            <w:tcMar>
              <w:top w:w="0" w:type="dxa"/>
              <w:bottom w:w="0" w:type="dxa"/>
            </w:tcMar>
            <w:vAlign w:val="center"/>
          </w:tcPr>
          <w:p w14:paraId="4BDF91CC" w14:textId="77777777" w:rsidR="00110F51" w:rsidRDefault="00000000">
            <w:pPr>
              <w:keepNext/>
              <w:keepLines/>
              <w:spacing w:after="0" w:line="240" w:lineRule="auto"/>
            </w:pPr>
            <w:r>
              <w:rPr>
                <w:sz w:val="18"/>
              </w:rPr>
              <w:t>dio 23</w:t>
            </w:r>
          </w:p>
        </w:tc>
        <w:tc>
          <w:tcPr>
            <w:tcW w:w="3180" w:type="dxa"/>
            <w:tcMar>
              <w:top w:w="0" w:type="dxa"/>
              <w:bottom w:w="0" w:type="dxa"/>
            </w:tcMar>
            <w:vAlign w:val="center"/>
          </w:tcPr>
          <w:p w14:paraId="5AE909A9" w14:textId="77777777" w:rsidR="00110F51" w:rsidRDefault="00000000">
            <w:pPr>
              <w:keepNext/>
              <w:keepLines/>
              <w:spacing w:after="0" w:line="240" w:lineRule="auto"/>
            </w:pPr>
            <w:r>
              <w:rPr>
                <w:sz w:val="18"/>
              </w:rPr>
              <w:t>Obveze za rashode poslovanja - dospjele</w:t>
            </w:r>
          </w:p>
        </w:tc>
        <w:tc>
          <w:tcPr>
            <w:tcW w:w="700" w:type="dxa"/>
            <w:tcMar>
              <w:top w:w="0" w:type="dxa"/>
              <w:bottom w:w="0" w:type="dxa"/>
            </w:tcMar>
            <w:vAlign w:val="center"/>
          </w:tcPr>
          <w:p w14:paraId="39248E55" w14:textId="77777777" w:rsidR="00110F51" w:rsidRDefault="00000000">
            <w:pPr>
              <w:keepNext/>
              <w:keepLines/>
              <w:spacing w:after="0" w:line="240" w:lineRule="auto"/>
            </w:pPr>
            <w:r>
              <w:rPr>
                <w:sz w:val="18"/>
              </w:rPr>
              <w:t>dio 23 D</w:t>
            </w:r>
          </w:p>
        </w:tc>
        <w:tc>
          <w:tcPr>
            <w:tcW w:w="1860" w:type="dxa"/>
            <w:tcMar>
              <w:top w:w="0" w:type="dxa"/>
              <w:bottom w:w="0" w:type="dxa"/>
            </w:tcMar>
            <w:vAlign w:val="center"/>
          </w:tcPr>
          <w:p w14:paraId="4A7528F9" w14:textId="77777777" w:rsidR="00110F51" w:rsidRDefault="00000000">
            <w:pPr>
              <w:keepNext/>
              <w:keepLines/>
              <w:spacing w:after="0" w:line="240" w:lineRule="auto"/>
              <w:jc w:val="right"/>
            </w:pPr>
            <w:r>
              <w:rPr>
                <w:sz w:val="18"/>
              </w:rPr>
              <w:t>248,89</w:t>
            </w:r>
          </w:p>
        </w:tc>
        <w:tc>
          <w:tcPr>
            <w:tcW w:w="1860" w:type="dxa"/>
            <w:tcMar>
              <w:top w:w="0" w:type="dxa"/>
              <w:bottom w:w="0" w:type="dxa"/>
            </w:tcMar>
            <w:vAlign w:val="center"/>
          </w:tcPr>
          <w:p w14:paraId="0BB1A6FC" w14:textId="77777777" w:rsidR="00110F51" w:rsidRDefault="00000000">
            <w:pPr>
              <w:keepNext/>
              <w:keepLines/>
              <w:spacing w:after="0" w:line="240" w:lineRule="auto"/>
              <w:jc w:val="right"/>
            </w:pPr>
            <w:r>
              <w:rPr>
                <w:sz w:val="18"/>
              </w:rPr>
              <w:t>433,48</w:t>
            </w:r>
          </w:p>
        </w:tc>
        <w:tc>
          <w:tcPr>
            <w:tcW w:w="700" w:type="dxa"/>
            <w:tcMar>
              <w:top w:w="0" w:type="dxa"/>
              <w:bottom w:w="0" w:type="dxa"/>
            </w:tcMar>
            <w:vAlign w:val="center"/>
          </w:tcPr>
          <w:p w14:paraId="395FD2CF" w14:textId="77777777" w:rsidR="00110F51" w:rsidRDefault="00000000">
            <w:pPr>
              <w:keepNext/>
              <w:keepLines/>
              <w:spacing w:after="0" w:line="240" w:lineRule="auto"/>
              <w:jc w:val="right"/>
            </w:pPr>
            <w:r>
              <w:rPr>
                <w:sz w:val="18"/>
              </w:rPr>
              <w:t>174,2</w:t>
            </w:r>
          </w:p>
        </w:tc>
      </w:tr>
    </w:tbl>
    <w:p w14:paraId="7691C877" w14:textId="77777777" w:rsidR="00110F51" w:rsidRDefault="00110F51">
      <w:pPr>
        <w:spacing w:after="0"/>
      </w:pPr>
    </w:p>
    <w:p w14:paraId="51C46A07" w14:textId="77777777" w:rsidR="00110F51" w:rsidRDefault="00000000">
      <w:r>
        <w:t>Dospjele obveze na 31.12.2025. veće su u apsolutnom iznosu za 184,59 eura u odnosu na početno stanje u 2025. godini, a odnose se na vatrogasne usluge, usluge reprezentacije, usluge Facebook oglašavanja i usluge stručnog usavršavanja koje su najvećim dijelom ostvarene u prosincu 2025. godine. Iste su obveze sve podmirene u siječnju 2026. godine.</w:t>
      </w:r>
    </w:p>
    <w:p w14:paraId="77245E7D" w14:textId="77777777" w:rsidR="00110F51" w:rsidRDefault="00110F51"/>
    <w:p w14:paraId="4949DA58" w14:textId="77777777" w:rsidR="00110F51" w:rsidRDefault="00000000">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225AFC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4A4267"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E23A7E"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EABBC7"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32B07C"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A9742A"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DA577C" w14:textId="77777777" w:rsidR="00110F51" w:rsidRDefault="00000000">
            <w:pPr>
              <w:keepNext/>
              <w:keepLines/>
              <w:spacing w:after="0" w:line="240" w:lineRule="auto"/>
              <w:jc w:val="center"/>
            </w:pPr>
            <w:r>
              <w:rPr>
                <w:b/>
                <w:sz w:val="18"/>
              </w:rPr>
              <w:t>Indeks (%)</w:t>
            </w:r>
          </w:p>
        </w:tc>
      </w:tr>
      <w:tr w:rsidR="00110F51" w14:paraId="565D2E54" w14:textId="77777777">
        <w:tblPrEx>
          <w:tblCellMar>
            <w:top w:w="0" w:type="dxa"/>
            <w:bottom w:w="0" w:type="dxa"/>
          </w:tblCellMar>
        </w:tblPrEx>
        <w:trPr>
          <w:cantSplit/>
          <w:trHeight w:val="560"/>
        </w:trPr>
        <w:tc>
          <w:tcPr>
            <w:tcW w:w="700" w:type="dxa"/>
            <w:tcMar>
              <w:top w:w="0" w:type="dxa"/>
              <w:bottom w:w="0" w:type="dxa"/>
            </w:tcMar>
            <w:vAlign w:val="center"/>
          </w:tcPr>
          <w:p w14:paraId="17A5D183" w14:textId="77777777" w:rsidR="00110F51" w:rsidRDefault="00000000">
            <w:pPr>
              <w:keepNext/>
              <w:keepLines/>
              <w:spacing w:after="0" w:line="240" w:lineRule="auto"/>
            </w:pPr>
            <w:r>
              <w:rPr>
                <w:sz w:val="18"/>
              </w:rPr>
              <w:t>99611</w:t>
            </w:r>
          </w:p>
        </w:tc>
        <w:tc>
          <w:tcPr>
            <w:tcW w:w="3180" w:type="dxa"/>
            <w:tcMar>
              <w:top w:w="0" w:type="dxa"/>
              <w:bottom w:w="0" w:type="dxa"/>
            </w:tcMar>
            <w:vAlign w:val="center"/>
          </w:tcPr>
          <w:p w14:paraId="4F635805" w14:textId="77777777" w:rsidR="00110F51" w:rsidRDefault="00000000">
            <w:pPr>
              <w:keepNext/>
              <w:keepLines/>
              <w:spacing w:after="0" w:line="240" w:lineRule="auto"/>
            </w:pPr>
            <w:r>
              <w:rPr>
                <w:sz w:val="18"/>
              </w:rPr>
              <w:t>Tuđa imovina dobivena na korištenje</w:t>
            </w:r>
          </w:p>
        </w:tc>
        <w:tc>
          <w:tcPr>
            <w:tcW w:w="700" w:type="dxa"/>
            <w:tcMar>
              <w:top w:w="0" w:type="dxa"/>
              <w:bottom w:w="0" w:type="dxa"/>
            </w:tcMar>
            <w:vAlign w:val="center"/>
          </w:tcPr>
          <w:p w14:paraId="313491F5" w14:textId="77777777" w:rsidR="00110F51" w:rsidRDefault="00000000">
            <w:pPr>
              <w:keepNext/>
              <w:keepLines/>
              <w:spacing w:after="0" w:line="240" w:lineRule="auto"/>
            </w:pPr>
            <w:r>
              <w:rPr>
                <w:sz w:val="18"/>
              </w:rPr>
              <w:t>99611</w:t>
            </w:r>
          </w:p>
        </w:tc>
        <w:tc>
          <w:tcPr>
            <w:tcW w:w="1860" w:type="dxa"/>
            <w:tcMar>
              <w:top w:w="0" w:type="dxa"/>
              <w:bottom w:w="0" w:type="dxa"/>
            </w:tcMar>
            <w:vAlign w:val="center"/>
          </w:tcPr>
          <w:p w14:paraId="48D02B30" w14:textId="77777777" w:rsidR="00110F51" w:rsidRDefault="00000000">
            <w:pPr>
              <w:keepNext/>
              <w:keepLines/>
              <w:spacing w:after="0" w:line="240" w:lineRule="auto"/>
              <w:jc w:val="right"/>
            </w:pPr>
            <w:r>
              <w:rPr>
                <w:sz w:val="18"/>
              </w:rPr>
              <w:t>417.977,69</w:t>
            </w:r>
          </w:p>
        </w:tc>
        <w:tc>
          <w:tcPr>
            <w:tcW w:w="1860" w:type="dxa"/>
            <w:tcMar>
              <w:top w:w="0" w:type="dxa"/>
              <w:bottom w:w="0" w:type="dxa"/>
            </w:tcMar>
            <w:vAlign w:val="center"/>
          </w:tcPr>
          <w:p w14:paraId="75159957" w14:textId="77777777" w:rsidR="00110F51" w:rsidRDefault="00000000">
            <w:pPr>
              <w:keepNext/>
              <w:keepLines/>
              <w:spacing w:after="0" w:line="240" w:lineRule="auto"/>
              <w:jc w:val="right"/>
            </w:pPr>
            <w:r>
              <w:rPr>
                <w:sz w:val="18"/>
              </w:rPr>
              <w:t>2.686.947,71</w:t>
            </w:r>
          </w:p>
        </w:tc>
        <w:tc>
          <w:tcPr>
            <w:tcW w:w="700" w:type="dxa"/>
            <w:tcMar>
              <w:top w:w="0" w:type="dxa"/>
              <w:bottom w:w="0" w:type="dxa"/>
            </w:tcMar>
            <w:vAlign w:val="center"/>
          </w:tcPr>
          <w:p w14:paraId="58A894B1" w14:textId="77777777" w:rsidR="00110F51" w:rsidRDefault="00000000">
            <w:pPr>
              <w:keepNext/>
              <w:keepLines/>
              <w:spacing w:after="0" w:line="240" w:lineRule="auto"/>
              <w:jc w:val="right"/>
            </w:pPr>
            <w:r>
              <w:rPr>
                <w:sz w:val="18"/>
              </w:rPr>
              <w:t>642,8</w:t>
            </w:r>
          </w:p>
        </w:tc>
      </w:tr>
    </w:tbl>
    <w:p w14:paraId="4FC73929" w14:textId="77777777" w:rsidR="00110F51" w:rsidRDefault="00110F51">
      <w:pPr>
        <w:spacing w:after="0"/>
      </w:pPr>
    </w:p>
    <w:p w14:paraId="28E8C245" w14:textId="77777777" w:rsidR="00110F51" w:rsidRDefault="00000000">
      <w:r>
        <w:t>U 2025. godini bilježi se izvanbilančni zapis koji se odnosi na imovinu Grada Rijeke danu na korištenje Hrvatskom kulturnom domu na Sušaku, a sastoji se od zgrade Hrvatskog kulturnog doma na Sušaku, prostora u Križanićevoj ulici 6a u Rijeci, dizala za osobe u invalidskim kolicima, komponente sustava za daljinsko očitavanje ICT sustava, uredske i ostale opreme. </w:t>
      </w:r>
    </w:p>
    <w:p w14:paraId="0471ABE2" w14:textId="77777777" w:rsidR="00110F51" w:rsidRDefault="00000000">
      <w:r>
        <w:t>Iznos je veći u odnosu na početno stanje 2025. godine zbog promjene načina evidentiranja izvanbilančnih zapisa u 2025. godini.</w:t>
      </w:r>
    </w:p>
    <w:p w14:paraId="17DBB646" w14:textId="77777777" w:rsidR="00110F51" w:rsidRDefault="00110F51"/>
    <w:p w14:paraId="62EC659B" w14:textId="77777777" w:rsidR="00110F51"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5739EA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02E4C5"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0F1DE6"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FAF392"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5EFAE8" w14:textId="77777777" w:rsidR="00110F5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CC9270" w14:textId="77777777" w:rsidR="00110F5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1AABB3" w14:textId="77777777" w:rsidR="00110F51" w:rsidRDefault="00000000">
            <w:pPr>
              <w:keepNext/>
              <w:keepLines/>
              <w:spacing w:after="0" w:line="240" w:lineRule="auto"/>
              <w:jc w:val="center"/>
            </w:pPr>
            <w:r>
              <w:rPr>
                <w:b/>
                <w:sz w:val="18"/>
              </w:rPr>
              <w:t>Indeks (%)</w:t>
            </w:r>
          </w:p>
        </w:tc>
      </w:tr>
      <w:tr w:rsidR="00110F51" w14:paraId="49544D8D" w14:textId="77777777">
        <w:tblPrEx>
          <w:tblCellMar>
            <w:top w:w="0" w:type="dxa"/>
            <w:bottom w:w="0" w:type="dxa"/>
          </w:tblCellMar>
        </w:tblPrEx>
        <w:trPr>
          <w:cantSplit/>
          <w:trHeight w:val="560"/>
        </w:trPr>
        <w:tc>
          <w:tcPr>
            <w:tcW w:w="700" w:type="dxa"/>
            <w:tcMar>
              <w:top w:w="0" w:type="dxa"/>
              <w:bottom w:w="0" w:type="dxa"/>
            </w:tcMar>
            <w:vAlign w:val="center"/>
          </w:tcPr>
          <w:p w14:paraId="63D82112" w14:textId="77777777" w:rsidR="00110F51" w:rsidRDefault="00000000">
            <w:pPr>
              <w:keepNext/>
              <w:keepLines/>
              <w:spacing w:after="0" w:line="240" w:lineRule="auto"/>
            </w:pPr>
            <w:r>
              <w:rPr>
                <w:sz w:val="18"/>
              </w:rPr>
              <w:t>99671</w:t>
            </w:r>
          </w:p>
        </w:tc>
        <w:tc>
          <w:tcPr>
            <w:tcW w:w="3180" w:type="dxa"/>
            <w:tcMar>
              <w:top w:w="0" w:type="dxa"/>
              <w:bottom w:w="0" w:type="dxa"/>
            </w:tcMar>
            <w:vAlign w:val="center"/>
          </w:tcPr>
          <w:p w14:paraId="7579A001" w14:textId="77777777" w:rsidR="00110F51" w:rsidRDefault="00000000">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55FC38DA" w14:textId="77777777" w:rsidR="00110F51" w:rsidRDefault="00000000">
            <w:pPr>
              <w:keepNext/>
              <w:keepLines/>
              <w:spacing w:after="0" w:line="240" w:lineRule="auto"/>
            </w:pPr>
            <w:r>
              <w:rPr>
                <w:sz w:val="18"/>
              </w:rPr>
              <w:t>99671</w:t>
            </w:r>
          </w:p>
        </w:tc>
        <w:tc>
          <w:tcPr>
            <w:tcW w:w="1860" w:type="dxa"/>
            <w:tcMar>
              <w:top w:w="0" w:type="dxa"/>
              <w:bottom w:w="0" w:type="dxa"/>
            </w:tcMar>
            <w:vAlign w:val="center"/>
          </w:tcPr>
          <w:p w14:paraId="481DF204" w14:textId="77777777" w:rsidR="00110F51" w:rsidRDefault="00000000">
            <w:pPr>
              <w:keepNext/>
              <w:keepLines/>
              <w:spacing w:after="0" w:line="240" w:lineRule="auto"/>
              <w:jc w:val="right"/>
            </w:pPr>
            <w:r>
              <w:rPr>
                <w:sz w:val="18"/>
              </w:rPr>
              <w:t>0,00</w:t>
            </w:r>
          </w:p>
        </w:tc>
        <w:tc>
          <w:tcPr>
            <w:tcW w:w="1860" w:type="dxa"/>
            <w:tcMar>
              <w:top w:w="0" w:type="dxa"/>
              <w:bottom w:w="0" w:type="dxa"/>
            </w:tcMar>
            <w:vAlign w:val="center"/>
          </w:tcPr>
          <w:p w14:paraId="3FDA4FBB" w14:textId="77777777" w:rsidR="00110F51" w:rsidRDefault="00000000">
            <w:pPr>
              <w:keepNext/>
              <w:keepLines/>
              <w:spacing w:after="0" w:line="240" w:lineRule="auto"/>
              <w:jc w:val="right"/>
            </w:pPr>
            <w:r>
              <w:rPr>
                <w:sz w:val="18"/>
              </w:rPr>
              <w:t>30.134,20</w:t>
            </w:r>
          </w:p>
        </w:tc>
        <w:tc>
          <w:tcPr>
            <w:tcW w:w="700" w:type="dxa"/>
            <w:tcMar>
              <w:top w:w="0" w:type="dxa"/>
              <w:bottom w:w="0" w:type="dxa"/>
            </w:tcMar>
            <w:vAlign w:val="center"/>
          </w:tcPr>
          <w:p w14:paraId="35318F54" w14:textId="77777777" w:rsidR="00110F51" w:rsidRDefault="00000000">
            <w:pPr>
              <w:keepNext/>
              <w:keepLines/>
              <w:spacing w:after="0" w:line="240" w:lineRule="auto"/>
              <w:jc w:val="right"/>
            </w:pPr>
            <w:r>
              <w:rPr>
                <w:sz w:val="18"/>
              </w:rPr>
              <w:t>-</w:t>
            </w:r>
          </w:p>
        </w:tc>
      </w:tr>
    </w:tbl>
    <w:p w14:paraId="422FF15D" w14:textId="77777777" w:rsidR="00110F51" w:rsidRDefault="00110F51">
      <w:pPr>
        <w:spacing w:after="0"/>
      </w:pPr>
    </w:p>
    <w:p w14:paraId="444B6024" w14:textId="77777777" w:rsidR="00110F51" w:rsidRDefault="00000000">
      <w:r>
        <w:t>Iznos od 30.134,20 eura odnosi se na potraživanja po sklopljenim Ugovorima za EU projekte Moving Balkans i Aerowaves za 2026. i 2027. godinu.</w:t>
      </w:r>
    </w:p>
    <w:p w14:paraId="1AB41960" w14:textId="77777777" w:rsidR="00110F51" w:rsidRDefault="00000000">
      <w:r>
        <w:t> </w:t>
      </w:r>
    </w:p>
    <w:p w14:paraId="0A3E389E" w14:textId="77777777" w:rsidR="00110F51" w:rsidRDefault="00110F51"/>
    <w:p w14:paraId="100EB67B" w14:textId="77777777" w:rsidR="00110F51" w:rsidRDefault="00000000">
      <w:pPr>
        <w:keepNext/>
        <w:spacing w:line="240" w:lineRule="auto"/>
        <w:jc w:val="center"/>
      </w:pPr>
      <w:r>
        <w:rPr>
          <w:b/>
          <w:sz w:val="28"/>
        </w:rPr>
        <w:t>Promjene u vrijednosti i obujmu imovine i obveza</w:t>
      </w:r>
    </w:p>
    <w:p w14:paraId="1F7B3F30" w14:textId="77777777" w:rsidR="00110F51"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10F51" w14:paraId="4D8D4F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33D83F"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FBD17D"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A071C3"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393F61" w14:textId="77777777" w:rsidR="00110F51"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D41112D" w14:textId="77777777" w:rsidR="00110F51"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43CDA3E" w14:textId="77777777" w:rsidR="00110F51" w:rsidRDefault="00000000">
            <w:pPr>
              <w:keepNext/>
              <w:keepLines/>
              <w:spacing w:after="0" w:line="240" w:lineRule="auto"/>
              <w:jc w:val="center"/>
            </w:pPr>
            <w:r>
              <w:rPr>
                <w:b/>
                <w:sz w:val="18"/>
              </w:rPr>
              <w:t>Indeks (%)</w:t>
            </w:r>
          </w:p>
        </w:tc>
      </w:tr>
      <w:tr w:rsidR="00110F51" w14:paraId="1A4B84CE" w14:textId="77777777">
        <w:tblPrEx>
          <w:tblCellMar>
            <w:top w:w="0" w:type="dxa"/>
            <w:bottom w:w="0" w:type="dxa"/>
          </w:tblCellMar>
        </w:tblPrEx>
        <w:trPr>
          <w:cantSplit/>
          <w:trHeight w:val="560"/>
        </w:trPr>
        <w:tc>
          <w:tcPr>
            <w:tcW w:w="700" w:type="dxa"/>
            <w:tcMar>
              <w:top w:w="0" w:type="dxa"/>
              <w:bottom w:w="0" w:type="dxa"/>
            </w:tcMar>
            <w:vAlign w:val="center"/>
          </w:tcPr>
          <w:p w14:paraId="413A0AD7" w14:textId="77777777" w:rsidR="00110F51" w:rsidRDefault="00000000">
            <w:pPr>
              <w:keepNext/>
              <w:keepLines/>
              <w:spacing w:after="0" w:line="240" w:lineRule="auto"/>
            </w:pPr>
            <w:r>
              <w:rPr>
                <w:sz w:val="18"/>
              </w:rPr>
              <w:t>9151</w:t>
            </w:r>
          </w:p>
        </w:tc>
        <w:tc>
          <w:tcPr>
            <w:tcW w:w="3180" w:type="dxa"/>
            <w:tcMar>
              <w:top w:w="0" w:type="dxa"/>
              <w:bottom w:w="0" w:type="dxa"/>
            </w:tcMar>
            <w:vAlign w:val="center"/>
          </w:tcPr>
          <w:p w14:paraId="6ABE9E83" w14:textId="77777777" w:rsidR="00110F51"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2DD40193" w14:textId="77777777" w:rsidR="00110F51" w:rsidRDefault="00000000">
            <w:pPr>
              <w:keepNext/>
              <w:keepLines/>
              <w:spacing w:after="0" w:line="240" w:lineRule="auto"/>
            </w:pPr>
            <w:r>
              <w:rPr>
                <w:sz w:val="18"/>
              </w:rPr>
              <w:t>9151</w:t>
            </w:r>
          </w:p>
        </w:tc>
        <w:tc>
          <w:tcPr>
            <w:tcW w:w="1860" w:type="dxa"/>
            <w:tcMar>
              <w:top w:w="0" w:type="dxa"/>
              <w:bottom w:w="0" w:type="dxa"/>
            </w:tcMar>
            <w:vAlign w:val="center"/>
          </w:tcPr>
          <w:p w14:paraId="394D3327" w14:textId="77777777" w:rsidR="00110F51" w:rsidRDefault="00000000">
            <w:pPr>
              <w:keepNext/>
              <w:keepLines/>
              <w:spacing w:after="0" w:line="240" w:lineRule="auto"/>
              <w:jc w:val="right"/>
            </w:pPr>
            <w:r>
              <w:rPr>
                <w:sz w:val="18"/>
              </w:rPr>
              <w:t>0,00</w:t>
            </w:r>
          </w:p>
        </w:tc>
        <w:tc>
          <w:tcPr>
            <w:tcW w:w="1860" w:type="dxa"/>
            <w:tcMar>
              <w:top w:w="0" w:type="dxa"/>
              <w:bottom w:w="0" w:type="dxa"/>
            </w:tcMar>
            <w:vAlign w:val="center"/>
          </w:tcPr>
          <w:p w14:paraId="61B03555" w14:textId="77777777" w:rsidR="00110F51" w:rsidRDefault="00000000">
            <w:pPr>
              <w:keepNext/>
              <w:keepLines/>
              <w:spacing w:after="0" w:line="240" w:lineRule="auto"/>
              <w:jc w:val="right"/>
            </w:pPr>
            <w:r>
              <w:rPr>
                <w:sz w:val="18"/>
              </w:rPr>
              <w:t>32.085,94</w:t>
            </w:r>
          </w:p>
        </w:tc>
        <w:tc>
          <w:tcPr>
            <w:tcW w:w="700" w:type="dxa"/>
            <w:tcMar>
              <w:top w:w="0" w:type="dxa"/>
              <w:bottom w:w="0" w:type="dxa"/>
            </w:tcMar>
            <w:vAlign w:val="center"/>
          </w:tcPr>
          <w:p w14:paraId="3FFAF9BC" w14:textId="77777777" w:rsidR="00110F51" w:rsidRDefault="00000000">
            <w:pPr>
              <w:keepNext/>
              <w:keepLines/>
              <w:spacing w:after="0" w:line="240" w:lineRule="auto"/>
              <w:jc w:val="right"/>
            </w:pPr>
            <w:r>
              <w:rPr>
                <w:sz w:val="18"/>
              </w:rPr>
              <w:t>-</w:t>
            </w:r>
          </w:p>
        </w:tc>
      </w:tr>
    </w:tbl>
    <w:p w14:paraId="5E328EB4" w14:textId="77777777" w:rsidR="00110F51" w:rsidRDefault="00110F51">
      <w:pPr>
        <w:spacing w:after="0"/>
      </w:pPr>
    </w:p>
    <w:p w14:paraId="54996E40" w14:textId="77777777" w:rsidR="00110F51" w:rsidRDefault="00000000">
      <w:r>
        <w:t>Iznos promjene u vrijednosti i obujmu imovine odnosi se na smanjenje vrijednosti proizvedene dugotrajne imovine u 2025. godini, a odnosi se na ispravak vrijednosti (amortizaciju) proizvedene dugotrajne imovine u 2025. godini.</w:t>
      </w:r>
    </w:p>
    <w:p w14:paraId="1D276571" w14:textId="77777777" w:rsidR="00110F51" w:rsidRDefault="00110F51"/>
    <w:p w14:paraId="0B6B71E0" w14:textId="77777777" w:rsidR="00110F51" w:rsidRDefault="00000000">
      <w:pPr>
        <w:keepNext/>
        <w:spacing w:line="240" w:lineRule="auto"/>
        <w:jc w:val="center"/>
      </w:pPr>
      <w:r>
        <w:rPr>
          <w:b/>
          <w:sz w:val="28"/>
        </w:rPr>
        <w:lastRenderedPageBreak/>
        <w:t>Izvještaj o obvezama</w:t>
      </w:r>
    </w:p>
    <w:p w14:paraId="33FC5F57" w14:textId="77777777" w:rsidR="00110F51"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10F51" w14:paraId="0E1D92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E25296" w14:textId="77777777" w:rsidR="00110F5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87375B" w14:textId="77777777" w:rsidR="00110F5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63896D" w14:textId="77777777" w:rsidR="00110F5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9C25F7" w14:textId="77777777" w:rsidR="00110F5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C6948E1" w14:textId="77777777" w:rsidR="00110F51" w:rsidRDefault="00000000">
            <w:pPr>
              <w:keepNext/>
              <w:keepLines/>
              <w:spacing w:after="0" w:line="240" w:lineRule="auto"/>
              <w:jc w:val="center"/>
            </w:pPr>
            <w:r>
              <w:rPr>
                <w:b/>
                <w:sz w:val="18"/>
              </w:rPr>
              <w:t>Indeks (%)</w:t>
            </w:r>
          </w:p>
        </w:tc>
      </w:tr>
      <w:tr w:rsidR="00110F51" w14:paraId="102B574E" w14:textId="77777777">
        <w:tblPrEx>
          <w:tblCellMar>
            <w:top w:w="0" w:type="dxa"/>
            <w:bottom w:w="0" w:type="dxa"/>
          </w:tblCellMar>
        </w:tblPrEx>
        <w:trPr>
          <w:cantSplit/>
          <w:trHeight w:val="560"/>
        </w:trPr>
        <w:tc>
          <w:tcPr>
            <w:tcW w:w="700" w:type="dxa"/>
            <w:tcMar>
              <w:top w:w="0" w:type="dxa"/>
              <w:bottom w:w="0" w:type="dxa"/>
            </w:tcMar>
            <w:vAlign w:val="center"/>
          </w:tcPr>
          <w:p w14:paraId="1F8B97D2" w14:textId="77777777" w:rsidR="00110F51" w:rsidRDefault="00110F51">
            <w:pPr>
              <w:keepNext/>
              <w:keepLines/>
              <w:spacing w:after="0" w:line="240" w:lineRule="auto"/>
            </w:pPr>
          </w:p>
        </w:tc>
        <w:tc>
          <w:tcPr>
            <w:tcW w:w="3180" w:type="dxa"/>
            <w:tcMar>
              <w:top w:w="0" w:type="dxa"/>
              <w:bottom w:w="0" w:type="dxa"/>
            </w:tcMar>
            <w:vAlign w:val="center"/>
          </w:tcPr>
          <w:p w14:paraId="494C050B" w14:textId="77777777" w:rsidR="00110F51"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46A41DA" w14:textId="77777777" w:rsidR="00110F51" w:rsidRDefault="00000000">
            <w:pPr>
              <w:keepNext/>
              <w:keepLines/>
              <w:spacing w:after="0" w:line="240" w:lineRule="auto"/>
            </w:pPr>
            <w:r>
              <w:rPr>
                <w:sz w:val="18"/>
              </w:rPr>
              <w:t>V007</w:t>
            </w:r>
          </w:p>
        </w:tc>
        <w:tc>
          <w:tcPr>
            <w:tcW w:w="1860" w:type="dxa"/>
            <w:tcMar>
              <w:top w:w="0" w:type="dxa"/>
              <w:bottom w:w="0" w:type="dxa"/>
            </w:tcMar>
            <w:vAlign w:val="center"/>
          </w:tcPr>
          <w:p w14:paraId="7B6D0D47" w14:textId="77777777" w:rsidR="00110F51" w:rsidRDefault="00000000">
            <w:pPr>
              <w:keepNext/>
              <w:keepLines/>
              <w:spacing w:after="0" w:line="240" w:lineRule="auto"/>
              <w:jc w:val="right"/>
            </w:pPr>
            <w:r>
              <w:rPr>
                <w:sz w:val="18"/>
              </w:rPr>
              <w:t>433,48</w:t>
            </w:r>
          </w:p>
        </w:tc>
        <w:tc>
          <w:tcPr>
            <w:tcW w:w="700" w:type="dxa"/>
            <w:tcMar>
              <w:top w:w="0" w:type="dxa"/>
              <w:bottom w:w="0" w:type="dxa"/>
            </w:tcMar>
            <w:vAlign w:val="center"/>
          </w:tcPr>
          <w:p w14:paraId="21A348C4" w14:textId="77777777" w:rsidR="00110F51" w:rsidRDefault="00000000">
            <w:pPr>
              <w:keepNext/>
              <w:keepLines/>
              <w:spacing w:after="0" w:line="240" w:lineRule="auto"/>
              <w:jc w:val="right"/>
            </w:pPr>
            <w:r>
              <w:rPr>
                <w:sz w:val="18"/>
              </w:rPr>
              <w:t>-</w:t>
            </w:r>
          </w:p>
        </w:tc>
      </w:tr>
    </w:tbl>
    <w:p w14:paraId="69C1057A" w14:textId="77777777" w:rsidR="00110F51" w:rsidRDefault="00110F51">
      <w:pPr>
        <w:spacing w:after="0"/>
      </w:pPr>
    </w:p>
    <w:p w14:paraId="2CFC17BA" w14:textId="77777777" w:rsidR="00110F51" w:rsidRDefault="00000000">
      <w:r>
        <w:t>Dospjele obveze na 31.12.2025. iznose 433,48 eura, a odnose se na vatrogasne usluge, usluge reprezentacije, usluge Facebook oglašavanja i usluge stručnog usavršavanja koje su najvećim dijelom ostvarene u prosincu 2025. godine. Iste su obveze sve podmirene u siječnju 2026. godine.</w:t>
      </w:r>
    </w:p>
    <w:p w14:paraId="5E26FE74" w14:textId="77777777" w:rsidR="00110F51" w:rsidRDefault="00110F51"/>
    <w:p w14:paraId="18FC97B6" w14:textId="77777777" w:rsidR="00110F51" w:rsidRDefault="00000000">
      <w:pPr>
        <w:keepNext/>
        <w:spacing w:line="240" w:lineRule="auto"/>
        <w:jc w:val="center"/>
      </w:pPr>
      <w:r>
        <w:rPr>
          <w:sz w:val="28"/>
        </w:rPr>
        <w:t>Bilješka 53.</w:t>
      </w:r>
    </w:p>
    <w:p w14:paraId="2D54E65A" w14:textId="77777777" w:rsidR="00110F51" w:rsidRDefault="00000000">
      <w:pPr>
        <w:spacing w:line="240" w:lineRule="auto"/>
        <w:jc w:val="both"/>
      </w:pPr>
      <w:r>
        <w:rPr>
          <w:b/>
        </w:rPr>
        <w:t>EU izvještaj</w:t>
      </w:r>
    </w:p>
    <w:p w14:paraId="2D15DE3E" w14:textId="77777777" w:rsidR="00110F51" w:rsidRDefault="00000000">
      <w:r>
        <w:t>U 2025. godini bilježi se 6.623,80 eura po osnovi prihoda od tekućih pomoći od institucija i tijela EU, po izvoru financiranja Programi Unije.</w:t>
      </w:r>
    </w:p>
    <w:p w14:paraId="3AFBB84E" w14:textId="77777777" w:rsidR="00110F51" w:rsidRDefault="00000000">
      <w:r>
        <w:t>Radi se o projektu Aerowaves po kojem prihod iznosi 6.000,00 eura i projektu Body landscapes - Perform Europe po kojem je ostvaren prihod od 623,80 eura.</w:t>
      </w:r>
    </w:p>
    <w:p w14:paraId="65DA629F" w14:textId="77777777" w:rsidR="00110F51" w:rsidRDefault="00000000">
      <w:r>
        <w:t>U istom iznosu kao i prihodi, ostvareni su i rashodi za oba projekta.</w:t>
      </w:r>
    </w:p>
    <w:p w14:paraId="0606693F" w14:textId="77777777" w:rsidR="00110F51" w:rsidRDefault="00000000">
      <w:r>
        <w:t>Iznos od 30.134,20 eura po osnovi potraživanja po ugovorima o dodijeljenim bespovratnim sredstvima iz EU fondova odnosi se na potraživanja po sklopljenim Ugovorima za EU projekte Moving Balkans i Aerowaves za 2026. i 2027. godinu.</w:t>
      </w:r>
    </w:p>
    <w:p w14:paraId="3F00568D" w14:textId="77777777" w:rsidR="00110F51" w:rsidRDefault="00000000">
      <w:r>
        <w:t> </w:t>
      </w:r>
    </w:p>
    <w:p w14:paraId="0B052FB3" w14:textId="77777777" w:rsidR="00110F51" w:rsidRDefault="00110F51"/>
    <w:sectPr w:rsidR="00110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51"/>
    <w:rsid w:val="00110F51"/>
    <w:rsid w:val="003664B8"/>
    <w:rsid w:val="00FA08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2BA3"/>
  <w15:docId w15:val="{1D5C5AA2-A329-4753-B843-10FEFCC5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4378</Words>
  <Characters>24955</Characters>
  <Application>Microsoft Office Word</Application>
  <DocSecurity>0</DocSecurity>
  <Lines>207</Lines>
  <Paragraphs>58</Paragraphs>
  <ScaleCrop>false</ScaleCrop>
  <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Žuža Tajana</dc:creator>
  <cp:lastModifiedBy>Žuža Tajana</cp:lastModifiedBy>
  <cp:revision>2</cp:revision>
  <dcterms:created xsi:type="dcterms:W3CDTF">2026-01-28T10:59:00Z</dcterms:created>
  <dcterms:modified xsi:type="dcterms:W3CDTF">2026-01-28T10:59:00Z</dcterms:modified>
</cp:coreProperties>
</file>