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10549" w14:textId="77777777" w:rsidR="001C3748" w:rsidRPr="00FC582D" w:rsidRDefault="001C3748" w:rsidP="001C3748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hr-HR"/>
        </w:rPr>
        <w:drawing>
          <wp:inline distT="0" distB="0" distL="0" distR="0" wp14:anchorId="763A2375" wp14:editId="2F6F3E36">
            <wp:extent cx="1268095" cy="792480"/>
            <wp:effectExtent l="0" t="0" r="8255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A489D3" w14:textId="77777777" w:rsidR="001C3748" w:rsidRPr="00FC582D" w:rsidRDefault="001C3748" w:rsidP="001C3748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2D48485C" w14:textId="77777777" w:rsidR="001C3748" w:rsidRPr="00FC582D" w:rsidRDefault="001C3748" w:rsidP="001C374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  <w:r w:rsidRPr="00FC582D">
        <w:rPr>
          <w:rFonts w:ascii="Calibri" w:eastAsia="Times New Roman" w:hAnsi="Calibri" w:cs="Calibri"/>
          <w:b/>
          <w:sz w:val="24"/>
          <w:szCs w:val="24"/>
          <w:lang w:eastAsia="hr-HR"/>
        </w:rPr>
        <w:t>HRVATSKI KULTURNI DOM NA SUŠAKU</w:t>
      </w:r>
    </w:p>
    <w:p w14:paraId="490CA9B1" w14:textId="77777777" w:rsidR="001C3748" w:rsidRPr="00FC582D" w:rsidRDefault="001C3748" w:rsidP="001C374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Strossmayerova 1, Rijeka</w:t>
      </w:r>
    </w:p>
    <w:p w14:paraId="05D6D4F4" w14:textId="77777777" w:rsidR="001C3748" w:rsidRPr="00FC582D" w:rsidRDefault="001C3748" w:rsidP="001C374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</w:p>
    <w:p w14:paraId="1DB44C77" w14:textId="77777777" w:rsidR="001C3748" w:rsidRPr="00FC582D" w:rsidRDefault="001C3748" w:rsidP="001C374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Razina: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 </w:t>
      </w: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21</w:t>
      </w:r>
    </w:p>
    <w:p w14:paraId="28E63112" w14:textId="77777777" w:rsidR="001C3748" w:rsidRPr="00FC582D" w:rsidRDefault="001C3748" w:rsidP="001C374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Matični broj:</w:t>
      </w: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ab/>
        <w:t>04947509</w:t>
      </w:r>
    </w:p>
    <w:p w14:paraId="21F55017" w14:textId="77777777" w:rsidR="001C3748" w:rsidRPr="00FC582D" w:rsidRDefault="001C3748" w:rsidP="001C374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RKP:</w:t>
      </w: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ab/>
        <w:t>50258</w:t>
      </w:r>
    </w:p>
    <w:p w14:paraId="5B0E3FF2" w14:textId="77777777" w:rsidR="001C3748" w:rsidRPr="00FC582D" w:rsidRDefault="001C3748" w:rsidP="001C374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OIB:</w:t>
      </w: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ab/>
        <w:t>39795989486</w:t>
      </w:r>
    </w:p>
    <w:p w14:paraId="4CB80C97" w14:textId="77777777" w:rsidR="001C3748" w:rsidRPr="00FC582D" w:rsidRDefault="001C3748" w:rsidP="001C374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Šifra djelatnosti:</w:t>
      </w: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 xml:space="preserve"> </w:t>
      </w: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9001</w:t>
      </w:r>
    </w:p>
    <w:p w14:paraId="4BC7E95A" w14:textId="59C73924" w:rsidR="001C3748" w:rsidRPr="00FC582D" w:rsidRDefault="001A62B2" w:rsidP="001C3748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Oznaka razdoblja: 202</w:t>
      </w:r>
      <w:r w:rsidR="00BC4650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4</w:t>
      </w:r>
      <w:r w:rsidR="001C3748"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-</w:t>
      </w:r>
      <w:r w:rsidR="001C3748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>12</w:t>
      </w:r>
    </w:p>
    <w:p w14:paraId="4F4FFC22" w14:textId="77777777" w:rsidR="001C3748" w:rsidRPr="00FC582D" w:rsidRDefault="001C3748" w:rsidP="001C3748">
      <w:pPr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hr-HR"/>
        </w:rPr>
      </w:pP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ab/>
      </w:r>
      <w:r w:rsidRPr="00FC582D">
        <w:rPr>
          <w:rFonts w:ascii="Calibri" w:eastAsia="Times New Roman" w:hAnsi="Calibri" w:cs="Calibri"/>
          <w:b/>
          <w:bCs/>
          <w:sz w:val="24"/>
          <w:szCs w:val="24"/>
          <w:lang w:eastAsia="hr-HR"/>
        </w:rPr>
        <w:tab/>
      </w:r>
    </w:p>
    <w:p w14:paraId="4A888768" w14:textId="77777777" w:rsidR="001C3748" w:rsidRPr="00FC582D" w:rsidRDefault="001C3748" w:rsidP="001C374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72BF7F90" w14:textId="77777777" w:rsidR="001C3748" w:rsidRPr="00FC582D" w:rsidRDefault="001C3748" w:rsidP="001C3748">
      <w:p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hr-HR"/>
        </w:rPr>
      </w:pPr>
    </w:p>
    <w:p w14:paraId="378DAEE6" w14:textId="77777777" w:rsidR="001C3748" w:rsidRPr="00B10604" w:rsidRDefault="001C3748" w:rsidP="001C3748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  <w:lang w:eastAsia="hr-HR"/>
        </w:rPr>
      </w:pPr>
      <w:r w:rsidRPr="00B10604">
        <w:rPr>
          <w:rFonts w:eastAsia="Times New Roman" w:cstheme="minorHAnsi"/>
          <w:b/>
          <w:sz w:val="24"/>
          <w:szCs w:val="24"/>
          <w:lang w:eastAsia="hr-HR"/>
        </w:rPr>
        <w:t xml:space="preserve">BILJEŠKE </w:t>
      </w:r>
      <w:r w:rsidRPr="00B10604">
        <w:rPr>
          <w:rFonts w:eastAsia="Times New Roman" w:cstheme="minorHAnsi"/>
          <w:b/>
          <w:bCs/>
          <w:sz w:val="24"/>
          <w:szCs w:val="24"/>
          <w:lang w:eastAsia="hr-HR"/>
        </w:rPr>
        <w:t>UZ FINANCIJSKI IZVJEŠTAJ ZA RAZDOBLJE</w:t>
      </w:r>
    </w:p>
    <w:p w14:paraId="517B837F" w14:textId="3FB34DF9" w:rsidR="001C3748" w:rsidRPr="00B10604" w:rsidRDefault="001C3748" w:rsidP="001C3748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10604">
        <w:rPr>
          <w:rFonts w:eastAsia="Times New Roman" w:cstheme="minorHAnsi"/>
          <w:b/>
          <w:bCs/>
          <w:sz w:val="24"/>
          <w:szCs w:val="24"/>
          <w:lang w:eastAsia="hr-HR"/>
        </w:rPr>
        <w:t xml:space="preserve">OD 01. SIJEČNJA DO </w:t>
      </w:r>
      <w:r w:rsidR="001A62B2">
        <w:rPr>
          <w:rFonts w:eastAsia="Times New Roman" w:cstheme="minorHAnsi"/>
          <w:b/>
          <w:bCs/>
          <w:sz w:val="24"/>
          <w:szCs w:val="24"/>
          <w:lang w:eastAsia="hr-HR"/>
        </w:rPr>
        <w:t>31.PROSINCA 202</w:t>
      </w:r>
      <w:r w:rsidR="00BC4650">
        <w:rPr>
          <w:rFonts w:eastAsia="Times New Roman" w:cstheme="minorHAnsi"/>
          <w:b/>
          <w:bCs/>
          <w:sz w:val="24"/>
          <w:szCs w:val="24"/>
          <w:lang w:eastAsia="hr-HR"/>
        </w:rPr>
        <w:t>4</w:t>
      </w:r>
      <w:r w:rsidRPr="00B10604">
        <w:rPr>
          <w:rFonts w:eastAsia="Times New Roman" w:cstheme="minorHAnsi"/>
          <w:b/>
          <w:bCs/>
          <w:sz w:val="24"/>
          <w:szCs w:val="24"/>
          <w:lang w:eastAsia="hr-HR"/>
        </w:rPr>
        <w:t>. GODINE</w:t>
      </w:r>
    </w:p>
    <w:p w14:paraId="0A708617" w14:textId="77777777" w:rsidR="001C3748" w:rsidRPr="00B10604" w:rsidRDefault="001C3748" w:rsidP="001C3748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9D4E9DD" w14:textId="77777777" w:rsidR="001C3748" w:rsidRPr="00B10604" w:rsidRDefault="001C3748" w:rsidP="001C3748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181C7E08" w14:textId="77777777" w:rsidR="001C3748" w:rsidRPr="00B10604" w:rsidRDefault="001C3748" w:rsidP="001C3748">
      <w:pPr>
        <w:spacing w:after="0" w:line="276" w:lineRule="auto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10604">
        <w:rPr>
          <w:rFonts w:eastAsia="Times New Roman" w:cstheme="minorHAnsi"/>
          <w:b/>
          <w:bCs/>
          <w:sz w:val="24"/>
          <w:szCs w:val="24"/>
          <w:lang w:eastAsia="hr-HR"/>
        </w:rPr>
        <w:t>UVOD</w:t>
      </w:r>
    </w:p>
    <w:p w14:paraId="181BBBF8" w14:textId="77777777" w:rsidR="001C3748" w:rsidRPr="00B10604" w:rsidRDefault="001C3748" w:rsidP="001C3748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7B06E25F" w14:textId="77777777" w:rsidR="001C3748" w:rsidRPr="00B10604" w:rsidRDefault="001C3748" w:rsidP="001C374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10604">
        <w:rPr>
          <w:rFonts w:eastAsia="Times New Roman" w:cstheme="minorHAnsi"/>
          <w:b/>
          <w:bCs/>
          <w:sz w:val="24"/>
          <w:szCs w:val="24"/>
          <w:lang w:eastAsia="hr-HR"/>
        </w:rPr>
        <w:t>OSNOVNI PODACI</w:t>
      </w:r>
    </w:p>
    <w:p w14:paraId="52274914" w14:textId="41CBE81F" w:rsidR="001C3748" w:rsidRPr="00B10604" w:rsidRDefault="001C3748" w:rsidP="001C3748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B10604">
        <w:rPr>
          <w:rFonts w:eastAsia="Times New Roman" w:cstheme="minorHAnsi"/>
          <w:sz w:val="24"/>
          <w:szCs w:val="24"/>
          <w:lang w:eastAsia="hr-HR"/>
        </w:rPr>
        <w:t>Hrvatski kulturni dom na Sušaku javna je ustanova u kulturi (u</w:t>
      </w:r>
      <w:r w:rsidR="001A62B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B10604">
        <w:rPr>
          <w:rFonts w:eastAsia="Times New Roman" w:cstheme="minorHAnsi"/>
          <w:sz w:val="24"/>
          <w:szCs w:val="24"/>
          <w:lang w:eastAsia="hr-HR"/>
        </w:rPr>
        <w:t xml:space="preserve">daljnjem tekstu Ustanova), registrirana na adresi Strossmayerova 1, Rijeka, pod matičnim brojem 04947509 i osobnim identifikacijskim brojem, OIB 39795989486. </w:t>
      </w:r>
      <w:r w:rsidRPr="00B10604">
        <w:rPr>
          <w:rFonts w:cstheme="minorHAnsi"/>
          <w:sz w:val="24"/>
          <w:szCs w:val="24"/>
        </w:rPr>
        <w:t>Identifikacijski broj upisa u Registar proračunskih i izvanproračunskih korisnika je RKP 50258, razina 21. Ustanova obavlja djelatnost u kulturi, te organiziranja aktivnosti i manifestacija vlastitih produkcija kao i realizacija javnih potreba u kulturi od inter</w:t>
      </w:r>
      <w:r w:rsidR="001A62B2">
        <w:rPr>
          <w:rFonts w:cstheme="minorHAnsi"/>
          <w:sz w:val="24"/>
          <w:szCs w:val="24"/>
        </w:rPr>
        <w:t>e</w:t>
      </w:r>
      <w:r w:rsidRPr="00B10604">
        <w:rPr>
          <w:rFonts w:cstheme="minorHAnsi"/>
          <w:sz w:val="24"/>
          <w:szCs w:val="24"/>
        </w:rPr>
        <w:t>sa za svog osnivača.</w:t>
      </w:r>
    </w:p>
    <w:p w14:paraId="482B53C4" w14:textId="7777777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B10604">
        <w:rPr>
          <w:rFonts w:cstheme="minorHAnsi"/>
          <w:sz w:val="24"/>
          <w:szCs w:val="24"/>
        </w:rPr>
        <w:t>Osnivač Ustanove je Grad Rijeka.</w:t>
      </w:r>
    </w:p>
    <w:p w14:paraId="41395554" w14:textId="7777777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</w:p>
    <w:p w14:paraId="4F8B4A29" w14:textId="77777777" w:rsidR="001C3748" w:rsidRPr="00B10604" w:rsidRDefault="001C3748" w:rsidP="001C3748">
      <w:pPr>
        <w:pStyle w:val="ListParagraph"/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 w:rsidRPr="00B10604">
        <w:rPr>
          <w:rFonts w:eastAsia="Times New Roman" w:cstheme="minorHAnsi"/>
          <w:b/>
          <w:bCs/>
          <w:sz w:val="24"/>
          <w:szCs w:val="24"/>
          <w:lang w:eastAsia="hr-HR"/>
        </w:rPr>
        <w:t>ZAKONSKI OSNOV IZRADE FINANCIJSKIH IZVJEŠTAJA</w:t>
      </w:r>
    </w:p>
    <w:p w14:paraId="2DA8EE26" w14:textId="2A3231B0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B10604">
        <w:rPr>
          <w:rFonts w:eastAsia="Times New Roman" w:cstheme="minorHAnsi"/>
          <w:sz w:val="24"/>
          <w:szCs w:val="24"/>
          <w:lang w:eastAsia="hr-HR"/>
        </w:rPr>
        <w:t xml:space="preserve">U skladu s odredbama Pravilnika o financijskom izvještavanju u proračunskom računovodstvu (Nar. nov., 3/15, 93/15, 135/15, 2/17, 28/17, 112/18, </w:t>
      </w:r>
      <w:r w:rsidRPr="00B10604">
        <w:rPr>
          <w:rFonts w:eastAsia="Calibri" w:cstheme="minorHAnsi"/>
          <w:sz w:val="24"/>
          <w:szCs w:val="24"/>
        </w:rPr>
        <w:t>126/19, 145/20, 32/21</w:t>
      </w:r>
      <w:r w:rsidRPr="00B10604">
        <w:rPr>
          <w:rFonts w:eastAsia="Times New Roman" w:cstheme="minorHAnsi"/>
          <w:sz w:val="24"/>
          <w:szCs w:val="24"/>
          <w:lang w:eastAsia="hr-HR"/>
        </w:rPr>
        <w:t xml:space="preserve"> i 37/22) i Okružnice o sastavljanju i predaji financijskih izvještaja proračuna, proračunskih i izvanproračunskih korisnika državnog proračuna te proračunskih i izvanproračunskih korisnika proračuna jedinica lokalne i područne (regionalne) samouprave za razdoblje od 1. siječ</w:t>
      </w:r>
      <w:r w:rsidR="001A62B2">
        <w:rPr>
          <w:rFonts w:eastAsia="Times New Roman" w:cstheme="minorHAnsi"/>
          <w:sz w:val="24"/>
          <w:szCs w:val="24"/>
          <w:lang w:eastAsia="hr-HR"/>
        </w:rPr>
        <w:t>nja do 31. prosinca 202</w:t>
      </w:r>
      <w:r w:rsidR="00BC4650">
        <w:rPr>
          <w:rFonts w:eastAsia="Times New Roman" w:cstheme="minorHAnsi"/>
          <w:sz w:val="24"/>
          <w:szCs w:val="24"/>
          <w:lang w:eastAsia="hr-HR"/>
        </w:rPr>
        <w:t>4</w:t>
      </w:r>
      <w:r w:rsidRPr="00B10604">
        <w:rPr>
          <w:rFonts w:eastAsia="Times New Roman" w:cstheme="minorHAnsi"/>
          <w:sz w:val="24"/>
          <w:szCs w:val="24"/>
          <w:lang w:eastAsia="hr-HR"/>
        </w:rPr>
        <w:t>. godine, Ministarstva financija (KLASA:400-02/2</w:t>
      </w:r>
      <w:r w:rsidR="00B33603">
        <w:rPr>
          <w:rFonts w:eastAsia="Times New Roman" w:cstheme="minorHAnsi"/>
          <w:sz w:val="24"/>
          <w:szCs w:val="24"/>
          <w:lang w:eastAsia="hr-HR"/>
        </w:rPr>
        <w:t>4</w:t>
      </w:r>
      <w:r w:rsidRPr="00B10604">
        <w:rPr>
          <w:rFonts w:eastAsia="Times New Roman" w:cstheme="minorHAnsi"/>
          <w:sz w:val="24"/>
          <w:szCs w:val="24"/>
          <w:lang w:eastAsia="hr-HR"/>
        </w:rPr>
        <w:t>-01/</w:t>
      </w:r>
      <w:r w:rsidR="00B33603">
        <w:rPr>
          <w:rFonts w:eastAsia="Times New Roman" w:cstheme="minorHAnsi"/>
          <w:sz w:val="24"/>
          <w:szCs w:val="24"/>
          <w:lang w:eastAsia="hr-HR"/>
        </w:rPr>
        <w:t>19</w:t>
      </w:r>
      <w:r w:rsidRPr="00B10604">
        <w:rPr>
          <w:rFonts w:eastAsia="Times New Roman" w:cstheme="minorHAnsi"/>
          <w:sz w:val="24"/>
          <w:szCs w:val="24"/>
          <w:lang w:eastAsia="hr-HR"/>
        </w:rPr>
        <w:t>, URBROJ: 513-05-03-2</w:t>
      </w:r>
      <w:r w:rsidR="00B33603">
        <w:rPr>
          <w:rFonts w:eastAsia="Times New Roman" w:cstheme="minorHAnsi"/>
          <w:sz w:val="24"/>
          <w:szCs w:val="24"/>
          <w:lang w:eastAsia="hr-HR"/>
        </w:rPr>
        <w:t>5</w:t>
      </w:r>
      <w:r w:rsidRPr="00B10604">
        <w:rPr>
          <w:rFonts w:eastAsia="Times New Roman" w:cstheme="minorHAnsi"/>
          <w:sz w:val="24"/>
          <w:szCs w:val="24"/>
          <w:lang w:eastAsia="hr-HR"/>
        </w:rPr>
        <w:t>-</w:t>
      </w:r>
      <w:r w:rsidR="003F0F8F">
        <w:rPr>
          <w:rFonts w:eastAsia="Times New Roman" w:cstheme="minorHAnsi"/>
          <w:sz w:val="24"/>
          <w:szCs w:val="24"/>
          <w:lang w:eastAsia="hr-HR"/>
        </w:rPr>
        <w:t>4</w:t>
      </w:r>
      <w:r w:rsidRPr="00B10604">
        <w:rPr>
          <w:rFonts w:eastAsia="Times New Roman" w:cstheme="minorHAnsi"/>
          <w:sz w:val="24"/>
          <w:szCs w:val="24"/>
          <w:lang w:eastAsia="hr-HR"/>
        </w:rPr>
        <w:t>) od 1</w:t>
      </w:r>
      <w:r w:rsidR="00B33603">
        <w:rPr>
          <w:rFonts w:eastAsia="Times New Roman" w:cstheme="minorHAnsi"/>
          <w:sz w:val="24"/>
          <w:szCs w:val="24"/>
          <w:lang w:eastAsia="hr-HR"/>
        </w:rPr>
        <w:t>4</w:t>
      </w:r>
      <w:r w:rsidRPr="00B10604">
        <w:rPr>
          <w:rFonts w:eastAsia="Times New Roman" w:cstheme="minorHAnsi"/>
          <w:sz w:val="24"/>
          <w:szCs w:val="24"/>
          <w:lang w:eastAsia="hr-HR"/>
        </w:rPr>
        <w:t>. siječnja 202</w:t>
      </w:r>
      <w:r w:rsidR="00B33603">
        <w:rPr>
          <w:rFonts w:eastAsia="Times New Roman" w:cstheme="minorHAnsi"/>
          <w:sz w:val="24"/>
          <w:szCs w:val="24"/>
          <w:lang w:eastAsia="hr-HR"/>
        </w:rPr>
        <w:t>5</w:t>
      </w:r>
      <w:r w:rsidRPr="00B10604">
        <w:rPr>
          <w:rFonts w:eastAsia="Times New Roman" w:cstheme="minorHAnsi"/>
          <w:sz w:val="24"/>
          <w:szCs w:val="24"/>
          <w:lang w:eastAsia="hr-HR"/>
        </w:rPr>
        <w:t>. godine sastavljen je Financijski izvještaj za razdoblje siječanj – prosinac 202</w:t>
      </w:r>
      <w:r w:rsidR="00B33603">
        <w:rPr>
          <w:rFonts w:eastAsia="Times New Roman" w:cstheme="minorHAnsi"/>
          <w:sz w:val="24"/>
          <w:szCs w:val="24"/>
          <w:lang w:eastAsia="hr-HR"/>
        </w:rPr>
        <w:t>4</w:t>
      </w:r>
      <w:r w:rsidRPr="00B10604">
        <w:rPr>
          <w:rFonts w:eastAsia="Times New Roman" w:cstheme="minorHAnsi"/>
          <w:sz w:val="24"/>
          <w:szCs w:val="24"/>
          <w:lang w:eastAsia="hr-HR"/>
        </w:rPr>
        <w:t xml:space="preserve">. koji se sastoji od </w:t>
      </w:r>
      <w:r w:rsidRPr="00B10604">
        <w:rPr>
          <w:rFonts w:cstheme="minorHAnsi"/>
          <w:sz w:val="24"/>
          <w:szCs w:val="24"/>
        </w:rPr>
        <w:t>Bilance ( Obrazac BIL)</w:t>
      </w:r>
      <w:r w:rsidRPr="00B10604">
        <w:rPr>
          <w:rFonts w:eastAsia="Times New Roman" w:cstheme="minorHAnsi"/>
          <w:sz w:val="24"/>
          <w:szCs w:val="24"/>
          <w:lang w:eastAsia="hr-HR"/>
        </w:rPr>
        <w:t xml:space="preserve">, </w:t>
      </w:r>
      <w:r w:rsidRPr="00B10604">
        <w:rPr>
          <w:rFonts w:cstheme="minorHAnsi"/>
          <w:sz w:val="24"/>
          <w:szCs w:val="24"/>
        </w:rPr>
        <w:t xml:space="preserve">Izvještaja o prihodima i rashodima, primicima i izdacima (Obrazac PR-RAS), Izvještaja o rashodima prema funkcijskoj klasifikaciji </w:t>
      </w:r>
      <w:r w:rsidRPr="00B10604">
        <w:rPr>
          <w:rFonts w:cstheme="minorHAnsi"/>
          <w:sz w:val="24"/>
          <w:szCs w:val="24"/>
        </w:rPr>
        <w:lastRenderedPageBreak/>
        <w:t>(Obrazac RAS-funkscijski),</w:t>
      </w:r>
      <w:r w:rsidRPr="00B1060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B10604">
        <w:rPr>
          <w:rFonts w:cstheme="minorHAnsi"/>
          <w:sz w:val="24"/>
          <w:szCs w:val="24"/>
        </w:rPr>
        <w:t>Izvještaja o promjen</w:t>
      </w:r>
      <w:r w:rsidR="00B33603">
        <w:rPr>
          <w:rFonts w:cstheme="minorHAnsi"/>
          <w:sz w:val="24"/>
          <w:szCs w:val="24"/>
        </w:rPr>
        <w:t>i</w:t>
      </w:r>
      <w:r w:rsidRPr="00B10604">
        <w:rPr>
          <w:rFonts w:cstheme="minorHAnsi"/>
          <w:sz w:val="24"/>
          <w:szCs w:val="24"/>
        </w:rPr>
        <w:t xml:space="preserve"> u vrijednosti i obujmu imovine i obveza (Obrazac P-VRIO),</w:t>
      </w:r>
      <w:r w:rsidRPr="00B10604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Pr="00B10604">
        <w:rPr>
          <w:rFonts w:cstheme="minorHAnsi"/>
          <w:sz w:val="24"/>
          <w:szCs w:val="24"/>
        </w:rPr>
        <w:t>Izvještaja o obvezama (Obrazac Obveze)</w:t>
      </w:r>
      <w:r w:rsidRPr="00B10604">
        <w:rPr>
          <w:rFonts w:eastAsia="Times New Roman" w:cstheme="minorHAnsi"/>
          <w:sz w:val="24"/>
          <w:szCs w:val="24"/>
          <w:lang w:eastAsia="hr-HR"/>
        </w:rPr>
        <w:t xml:space="preserve"> i ovih Bilješki.</w:t>
      </w:r>
    </w:p>
    <w:p w14:paraId="44C4E6D2" w14:textId="7777777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50D7D6E9" w14:textId="59E99B7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10604">
        <w:rPr>
          <w:rFonts w:cstheme="minorHAnsi"/>
          <w:sz w:val="24"/>
          <w:szCs w:val="24"/>
        </w:rPr>
        <w:t>Ustanova primjenjuje proračunsko računovodstvo u skladu sa Zakonom o proračunu (Narodne novine, broj 87/08, 136/12, 15/15 i 144/21) i Pravilnikom o proračunskom računovodstvu i računskom planu (Narodne novine, broj 124/14, 115/15, 87/16, 3/18, 126/19, 108/20</w:t>
      </w:r>
      <w:r w:rsidR="00B33603">
        <w:rPr>
          <w:rFonts w:cstheme="minorHAnsi"/>
          <w:sz w:val="24"/>
          <w:szCs w:val="24"/>
        </w:rPr>
        <w:t>,</w:t>
      </w:r>
      <w:r w:rsidRPr="00B10604">
        <w:rPr>
          <w:rFonts w:cstheme="minorHAnsi"/>
          <w:sz w:val="24"/>
          <w:szCs w:val="24"/>
        </w:rPr>
        <w:t xml:space="preserve"> 144/21</w:t>
      </w:r>
      <w:r w:rsidR="00B33603">
        <w:rPr>
          <w:rFonts w:cstheme="minorHAnsi"/>
          <w:sz w:val="24"/>
          <w:szCs w:val="24"/>
        </w:rPr>
        <w:t xml:space="preserve"> i 158/23</w:t>
      </w:r>
      <w:r w:rsidRPr="00B10604">
        <w:rPr>
          <w:rFonts w:cstheme="minorHAnsi"/>
          <w:sz w:val="24"/>
          <w:szCs w:val="24"/>
        </w:rPr>
        <w:t>).</w:t>
      </w:r>
    </w:p>
    <w:p w14:paraId="035C9392" w14:textId="7777777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1196033C" w14:textId="7777777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10604">
        <w:rPr>
          <w:rFonts w:eastAsia="Times New Roman" w:cstheme="minorHAnsi"/>
          <w:bCs/>
          <w:sz w:val="24"/>
          <w:szCs w:val="24"/>
          <w:lang w:eastAsia="hr-HR"/>
        </w:rPr>
        <w:t>U nastavku obrazlažemo sljedeće:</w:t>
      </w:r>
    </w:p>
    <w:p w14:paraId="4306DB4E" w14:textId="77777777" w:rsidR="001C3748" w:rsidRPr="00B10604" w:rsidRDefault="001C3748" w:rsidP="001C374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10604">
        <w:rPr>
          <w:rFonts w:eastAsia="Times New Roman" w:cstheme="minorHAnsi"/>
          <w:bCs/>
          <w:sz w:val="24"/>
          <w:szCs w:val="24"/>
          <w:lang w:eastAsia="hr-HR"/>
        </w:rPr>
        <w:t>razloge značajnih razlika u stanju na kraju izvještajnog razdoblja u odnosu na stanje na početku izvještajnog razdoblja</w:t>
      </w:r>
    </w:p>
    <w:p w14:paraId="79181640" w14:textId="77777777" w:rsidR="001C3748" w:rsidRPr="00B10604" w:rsidRDefault="001C3748" w:rsidP="001C374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10604">
        <w:rPr>
          <w:rFonts w:eastAsia="Times New Roman" w:cstheme="minorHAnsi"/>
          <w:bCs/>
          <w:sz w:val="24"/>
          <w:szCs w:val="24"/>
          <w:lang w:eastAsia="hr-HR"/>
        </w:rPr>
        <w:t xml:space="preserve">razloge značajnih odstupanja ostvarenja u izvještajnom razdoblju u odnosu na izvještajno razdoblje prethodne godine </w:t>
      </w:r>
    </w:p>
    <w:p w14:paraId="2C1A8A11" w14:textId="13249A83" w:rsidR="001C3748" w:rsidRPr="00B10604" w:rsidRDefault="001C3748" w:rsidP="001C3748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  <w:r w:rsidRPr="00B10604">
        <w:rPr>
          <w:rFonts w:eastAsia="Times New Roman" w:cstheme="minorHAnsi"/>
          <w:bCs/>
          <w:sz w:val="24"/>
          <w:szCs w:val="24"/>
          <w:lang w:eastAsia="hr-HR"/>
        </w:rPr>
        <w:t xml:space="preserve">razloge promjena na stavkama financijskog </w:t>
      </w:r>
      <w:r w:rsidR="00B33603">
        <w:rPr>
          <w:rFonts w:eastAsia="Times New Roman" w:cstheme="minorHAnsi"/>
          <w:bCs/>
          <w:sz w:val="24"/>
          <w:szCs w:val="24"/>
          <w:lang w:eastAsia="hr-HR"/>
        </w:rPr>
        <w:t>i</w:t>
      </w:r>
      <w:r w:rsidRPr="00B10604">
        <w:rPr>
          <w:rFonts w:eastAsia="Times New Roman" w:cstheme="minorHAnsi"/>
          <w:bCs/>
          <w:sz w:val="24"/>
          <w:szCs w:val="24"/>
          <w:lang w:eastAsia="hr-HR"/>
        </w:rPr>
        <w:t>zvještaja koje u jednom od prikazanih izvještajnih razdoblja nemaju iskazan podatak, dok je u drugom razdoblju iskazan značajan iznos zbog, primjerice, novog prihoda ili primitka, rashoda ili izdatka koji je ost</w:t>
      </w:r>
      <w:r w:rsidR="00B33603">
        <w:rPr>
          <w:rFonts w:eastAsia="Times New Roman" w:cstheme="minorHAnsi"/>
          <w:bCs/>
          <w:sz w:val="24"/>
          <w:szCs w:val="24"/>
          <w:lang w:eastAsia="hr-HR"/>
        </w:rPr>
        <w:t>vare</w:t>
      </w:r>
      <w:r w:rsidRPr="00B10604">
        <w:rPr>
          <w:rFonts w:eastAsia="Times New Roman" w:cstheme="minorHAnsi"/>
          <w:bCs/>
          <w:sz w:val="24"/>
          <w:szCs w:val="24"/>
          <w:lang w:eastAsia="hr-HR"/>
        </w:rPr>
        <w:t>n u jednom od promatranih razdoblja.</w:t>
      </w:r>
    </w:p>
    <w:p w14:paraId="112F688C" w14:textId="7777777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bCs/>
          <w:sz w:val="24"/>
          <w:szCs w:val="24"/>
          <w:lang w:eastAsia="hr-HR"/>
        </w:rPr>
      </w:pPr>
    </w:p>
    <w:p w14:paraId="62CA8971" w14:textId="7777777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b/>
          <w:sz w:val="24"/>
          <w:szCs w:val="24"/>
          <w:lang w:eastAsia="hr-HR"/>
        </w:rPr>
      </w:pPr>
      <w:r w:rsidRPr="00B10604">
        <w:rPr>
          <w:rFonts w:eastAsia="Times New Roman" w:cstheme="minorHAnsi"/>
          <w:b/>
          <w:sz w:val="24"/>
          <w:szCs w:val="24"/>
          <w:lang w:eastAsia="hr-HR"/>
        </w:rPr>
        <w:t>BILJEŠKE</w:t>
      </w:r>
    </w:p>
    <w:p w14:paraId="0F0791F0" w14:textId="77777777" w:rsidR="001C3748" w:rsidRPr="00B10604" w:rsidRDefault="001C3748" w:rsidP="001C3748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30766E85" w14:textId="38538C66" w:rsidR="001C3748" w:rsidRPr="00B10604" w:rsidRDefault="001C3748" w:rsidP="001C37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>BILJEŠKE UZ BILANCU NA DAN 31.12.202</w:t>
      </w:r>
      <w:r w:rsidR="00B33603">
        <w:rPr>
          <w:rFonts w:eastAsia="Calibri" w:cstheme="minorHAnsi"/>
          <w:b/>
          <w:sz w:val="24"/>
          <w:szCs w:val="24"/>
        </w:rPr>
        <w:t>4</w:t>
      </w:r>
      <w:r w:rsidRPr="00B10604">
        <w:rPr>
          <w:rFonts w:eastAsia="Calibri" w:cstheme="minorHAnsi"/>
          <w:b/>
          <w:sz w:val="24"/>
          <w:szCs w:val="24"/>
        </w:rPr>
        <w:t>. (Obrazac BIL)</w:t>
      </w:r>
    </w:p>
    <w:p w14:paraId="4A7A9EFC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5D320C00" w14:textId="77777777" w:rsidR="001C3748" w:rsidRPr="00B10604" w:rsidRDefault="001C3748" w:rsidP="001C3748">
      <w:pPr>
        <w:pStyle w:val="Default"/>
        <w:spacing w:line="276" w:lineRule="auto"/>
        <w:rPr>
          <w:rFonts w:asciiTheme="minorHAnsi" w:hAnsiTheme="minorHAnsi" w:cstheme="minorHAnsi"/>
        </w:rPr>
      </w:pPr>
      <w:r w:rsidRPr="00B10604">
        <w:rPr>
          <w:rFonts w:asciiTheme="minorHAnsi" w:hAnsiTheme="minorHAnsi" w:cstheme="minorHAnsi"/>
          <w:b/>
          <w:bCs/>
        </w:rPr>
        <w:t xml:space="preserve">IMOVINA (šifra B001) </w:t>
      </w:r>
    </w:p>
    <w:p w14:paraId="64034FC3" w14:textId="5DF6D5EC" w:rsidR="001C3748" w:rsidRPr="00B10604" w:rsidRDefault="001C3748" w:rsidP="001C3748">
      <w:pPr>
        <w:pStyle w:val="Default"/>
        <w:spacing w:line="276" w:lineRule="auto"/>
        <w:rPr>
          <w:rFonts w:asciiTheme="minorHAnsi" w:hAnsiTheme="minorHAnsi" w:cstheme="minorHAnsi"/>
        </w:rPr>
      </w:pPr>
      <w:r w:rsidRPr="00B10604">
        <w:rPr>
          <w:rFonts w:asciiTheme="minorHAnsi" w:hAnsiTheme="minorHAnsi" w:cstheme="minorHAnsi"/>
        </w:rPr>
        <w:t>Ukupna vrijednost imovine na dan 31.12.202</w:t>
      </w:r>
      <w:r w:rsidR="00B33603">
        <w:rPr>
          <w:rFonts w:asciiTheme="minorHAnsi" w:hAnsiTheme="minorHAnsi" w:cstheme="minorHAnsi"/>
        </w:rPr>
        <w:t>4</w:t>
      </w:r>
      <w:r w:rsidRPr="00B10604">
        <w:rPr>
          <w:rFonts w:asciiTheme="minorHAnsi" w:hAnsiTheme="minorHAnsi" w:cstheme="minorHAnsi"/>
        </w:rPr>
        <w:t xml:space="preserve">. godine iznosi </w:t>
      </w:r>
      <w:r w:rsidR="00B33603">
        <w:rPr>
          <w:rFonts w:asciiTheme="minorHAnsi" w:hAnsiTheme="minorHAnsi" w:cstheme="minorHAnsi"/>
        </w:rPr>
        <w:t>200.875,81 eura</w:t>
      </w:r>
      <w:r w:rsidRPr="00B10604">
        <w:rPr>
          <w:rFonts w:asciiTheme="minorHAnsi" w:hAnsiTheme="minorHAnsi" w:cstheme="minorHAnsi"/>
        </w:rPr>
        <w:t xml:space="preserve">, a čine je nefinancijska imovina (šifra B002) i financijska imovina (šifra 1). </w:t>
      </w:r>
    </w:p>
    <w:p w14:paraId="6E17DE07" w14:textId="104FB4A3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cstheme="minorHAnsi"/>
          <w:sz w:val="24"/>
          <w:szCs w:val="24"/>
        </w:rPr>
        <w:t>U odnosu na stanje imovine 01. siječnja 202</w:t>
      </w:r>
      <w:r w:rsidR="00B33603">
        <w:rPr>
          <w:rFonts w:cstheme="minorHAnsi"/>
          <w:sz w:val="24"/>
          <w:szCs w:val="24"/>
        </w:rPr>
        <w:t>4</w:t>
      </w:r>
      <w:r w:rsidRPr="00B10604">
        <w:rPr>
          <w:rFonts w:cstheme="minorHAnsi"/>
          <w:sz w:val="24"/>
          <w:szCs w:val="24"/>
        </w:rPr>
        <w:t xml:space="preserve">. godine zabilježeno je </w:t>
      </w:r>
      <w:r w:rsidR="003F0F8F">
        <w:rPr>
          <w:rFonts w:cstheme="minorHAnsi"/>
          <w:sz w:val="24"/>
          <w:szCs w:val="24"/>
        </w:rPr>
        <w:t>povećanje</w:t>
      </w:r>
      <w:r w:rsidRPr="00B10604">
        <w:rPr>
          <w:rFonts w:cstheme="minorHAnsi"/>
          <w:sz w:val="24"/>
          <w:szCs w:val="24"/>
        </w:rPr>
        <w:t xml:space="preserve"> vrijednosti ukupne imovine za </w:t>
      </w:r>
      <w:r w:rsidR="004E45FB">
        <w:rPr>
          <w:rFonts w:cstheme="minorHAnsi"/>
          <w:sz w:val="24"/>
          <w:szCs w:val="24"/>
        </w:rPr>
        <w:t>151.472,49 eura</w:t>
      </w:r>
      <w:r w:rsidRPr="00B10604">
        <w:rPr>
          <w:rFonts w:cstheme="minorHAnsi"/>
          <w:sz w:val="24"/>
          <w:szCs w:val="24"/>
        </w:rPr>
        <w:t xml:space="preserve"> ili </w:t>
      </w:r>
      <w:r w:rsidR="0095750F">
        <w:rPr>
          <w:rFonts w:cstheme="minorHAnsi"/>
          <w:sz w:val="24"/>
          <w:szCs w:val="24"/>
        </w:rPr>
        <w:t xml:space="preserve">za </w:t>
      </w:r>
      <w:r w:rsidR="001C6432">
        <w:rPr>
          <w:rFonts w:cstheme="minorHAnsi"/>
          <w:sz w:val="24"/>
          <w:szCs w:val="24"/>
        </w:rPr>
        <w:t>3</w:t>
      </w:r>
      <w:r w:rsidR="004E45FB">
        <w:rPr>
          <w:rFonts w:cstheme="minorHAnsi"/>
          <w:sz w:val="24"/>
          <w:szCs w:val="24"/>
        </w:rPr>
        <w:t>06,60%. Bilježi se povećanje pro</w:t>
      </w:r>
      <w:r w:rsidR="001C6432">
        <w:rPr>
          <w:rFonts w:cstheme="minorHAnsi"/>
          <w:sz w:val="24"/>
          <w:szCs w:val="24"/>
        </w:rPr>
        <w:t>izvedene dugotrajne imovine od 5</w:t>
      </w:r>
      <w:r w:rsidR="004E45FB">
        <w:rPr>
          <w:rFonts w:cstheme="minorHAnsi"/>
          <w:sz w:val="24"/>
          <w:szCs w:val="24"/>
        </w:rPr>
        <w:t xml:space="preserve">70,10%, prvenstveno zbog nabavke </w:t>
      </w:r>
      <w:bookmarkStart w:id="0" w:name="_Hlk188874311"/>
      <w:r w:rsidR="004E45FB">
        <w:rPr>
          <w:rFonts w:cstheme="minorHAnsi"/>
          <w:sz w:val="24"/>
          <w:szCs w:val="24"/>
        </w:rPr>
        <w:t>dimmera za kontrolu svjetla u dvorani,</w:t>
      </w:r>
      <w:bookmarkEnd w:id="0"/>
      <w:r w:rsidR="004E45FB">
        <w:rPr>
          <w:rFonts w:cstheme="minorHAnsi"/>
          <w:sz w:val="24"/>
          <w:szCs w:val="24"/>
        </w:rPr>
        <w:t xml:space="preserve"> čija nabavna vrijednost iznosi 97.500,68 eura. </w:t>
      </w:r>
      <w:r w:rsidR="00EC6E3F">
        <w:rPr>
          <w:rFonts w:cstheme="minorHAnsi"/>
          <w:sz w:val="24"/>
          <w:szCs w:val="24"/>
        </w:rPr>
        <w:t xml:space="preserve"> Udio</w:t>
      </w:r>
      <w:r w:rsidRPr="00B10604">
        <w:rPr>
          <w:rFonts w:cstheme="minorHAnsi"/>
          <w:sz w:val="24"/>
          <w:szCs w:val="24"/>
        </w:rPr>
        <w:t xml:space="preserve"> nefinancijske imovine u ukupnoj imovini iznosi </w:t>
      </w:r>
      <w:r w:rsidR="00971872">
        <w:rPr>
          <w:rFonts w:cstheme="minorHAnsi"/>
          <w:sz w:val="24"/>
          <w:szCs w:val="24"/>
        </w:rPr>
        <w:t>63,49</w:t>
      </w:r>
      <w:r w:rsidRPr="00B10604">
        <w:rPr>
          <w:rFonts w:cstheme="minorHAnsi"/>
          <w:sz w:val="24"/>
          <w:szCs w:val="24"/>
        </w:rPr>
        <w:t xml:space="preserve">% dok financijska imovina u ukupnoj imovini učestvuje udjelom od </w:t>
      </w:r>
      <w:r w:rsidR="00971872">
        <w:rPr>
          <w:rFonts w:cstheme="minorHAnsi"/>
          <w:sz w:val="24"/>
          <w:szCs w:val="24"/>
        </w:rPr>
        <w:t>36,51</w:t>
      </w:r>
      <w:r w:rsidRPr="00B10604">
        <w:rPr>
          <w:rFonts w:cstheme="minorHAnsi"/>
          <w:sz w:val="24"/>
          <w:szCs w:val="24"/>
        </w:rPr>
        <w:t>%.</w:t>
      </w:r>
    </w:p>
    <w:p w14:paraId="24ADABDB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35A6A708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>Nefinancijska imovina (šifra B002)</w:t>
      </w:r>
    </w:p>
    <w:p w14:paraId="5562B9C4" w14:textId="1E229526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10604">
        <w:rPr>
          <w:rFonts w:cstheme="minorHAnsi"/>
          <w:sz w:val="24"/>
          <w:szCs w:val="24"/>
        </w:rPr>
        <w:t xml:space="preserve">Ukupna vrijednost nefinancijske imovine na dan bilance iznosi </w:t>
      </w:r>
      <w:r w:rsidR="00971872">
        <w:rPr>
          <w:rFonts w:cstheme="minorHAnsi"/>
          <w:sz w:val="24"/>
          <w:szCs w:val="24"/>
        </w:rPr>
        <w:t>127.542,70</w:t>
      </w:r>
      <w:r w:rsidRPr="00B10604">
        <w:rPr>
          <w:rFonts w:cstheme="minorHAnsi"/>
          <w:sz w:val="24"/>
          <w:szCs w:val="24"/>
        </w:rPr>
        <w:t xml:space="preserve"> </w:t>
      </w:r>
      <w:r w:rsidR="00971872">
        <w:rPr>
          <w:rFonts w:cstheme="minorHAnsi"/>
          <w:sz w:val="24"/>
          <w:szCs w:val="24"/>
        </w:rPr>
        <w:t>eura</w:t>
      </w:r>
      <w:r w:rsidRPr="00B10604">
        <w:rPr>
          <w:rFonts w:cstheme="minorHAnsi"/>
          <w:sz w:val="24"/>
          <w:szCs w:val="24"/>
        </w:rPr>
        <w:t xml:space="preserve"> što je u odnosu na vrijednost 1. siječnja 202</w:t>
      </w:r>
      <w:r w:rsidR="00971872">
        <w:rPr>
          <w:rFonts w:cstheme="minorHAnsi"/>
          <w:sz w:val="24"/>
          <w:szCs w:val="24"/>
        </w:rPr>
        <w:t>4</w:t>
      </w:r>
      <w:r w:rsidRPr="00B10604">
        <w:rPr>
          <w:rFonts w:cstheme="minorHAnsi"/>
          <w:sz w:val="24"/>
          <w:szCs w:val="24"/>
        </w:rPr>
        <w:t xml:space="preserve">. godine </w:t>
      </w:r>
      <w:r w:rsidR="00C57148">
        <w:rPr>
          <w:rFonts w:cstheme="minorHAnsi"/>
          <w:sz w:val="24"/>
          <w:szCs w:val="24"/>
        </w:rPr>
        <w:t>poveća</w:t>
      </w:r>
      <w:r w:rsidRPr="00B10604">
        <w:rPr>
          <w:rFonts w:cstheme="minorHAnsi"/>
          <w:sz w:val="24"/>
          <w:szCs w:val="24"/>
        </w:rPr>
        <w:t xml:space="preserve">nje za </w:t>
      </w:r>
      <w:r w:rsidR="00971872">
        <w:rPr>
          <w:rFonts w:cstheme="minorHAnsi"/>
          <w:sz w:val="24"/>
          <w:szCs w:val="24"/>
        </w:rPr>
        <w:t>108.510,26 eura</w:t>
      </w:r>
      <w:r w:rsidRPr="00B10604">
        <w:rPr>
          <w:rFonts w:cstheme="minorHAnsi"/>
          <w:sz w:val="24"/>
          <w:szCs w:val="24"/>
        </w:rPr>
        <w:t xml:space="preserve"> ili </w:t>
      </w:r>
      <w:r w:rsidR="001C6432">
        <w:rPr>
          <w:rFonts w:cstheme="minorHAnsi"/>
          <w:sz w:val="24"/>
          <w:szCs w:val="24"/>
        </w:rPr>
        <w:t>5</w:t>
      </w:r>
      <w:r w:rsidR="00971872">
        <w:rPr>
          <w:rFonts w:cstheme="minorHAnsi"/>
          <w:sz w:val="24"/>
          <w:szCs w:val="24"/>
        </w:rPr>
        <w:t>70,10</w:t>
      </w:r>
      <w:r w:rsidRPr="00B10604">
        <w:rPr>
          <w:rFonts w:cstheme="minorHAnsi"/>
          <w:sz w:val="24"/>
          <w:szCs w:val="24"/>
        </w:rPr>
        <w:t xml:space="preserve">%. </w:t>
      </w:r>
      <w:r w:rsidR="00EF433D">
        <w:rPr>
          <w:rFonts w:cstheme="minorHAnsi"/>
          <w:sz w:val="24"/>
          <w:szCs w:val="24"/>
        </w:rPr>
        <w:t>Time nefinancijska imovina utječe na ukupno povećanje imovine.</w:t>
      </w:r>
    </w:p>
    <w:p w14:paraId="477D8891" w14:textId="7B23FE23" w:rsidR="001C3748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10604">
        <w:rPr>
          <w:rFonts w:cstheme="minorHAnsi"/>
          <w:sz w:val="24"/>
          <w:szCs w:val="24"/>
        </w:rPr>
        <w:t>Sastoji se</w:t>
      </w:r>
      <w:r w:rsidR="00940720">
        <w:rPr>
          <w:rFonts w:cstheme="minorHAnsi"/>
          <w:sz w:val="24"/>
          <w:szCs w:val="24"/>
        </w:rPr>
        <w:t xml:space="preserve"> </w:t>
      </w:r>
      <w:r w:rsidRPr="00B10604">
        <w:rPr>
          <w:rFonts w:cstheme="minorHAnsi"/>
          <w:sz w:val="24"/>
          <w:szCs w:val="24"/>
        </w:rPr>
        <w:t>od proizved</w:t>
      </w:r>
      <w:r w:rsidR="00C57148">
        <w:rPr>
          <w:rFonts w:cstheme="minorHAnsi"/>
          <w:sz w:val="24"/>
          <w:szCs w:val="24"/>
        </w:rPr>
        <w:t>e</w:t>
      </w:r>
      <w:r w:rsidRPr="00B10604">
        <w:rPr>
          <w:rFonts w:cstheme="minorHAnsi"/>
          <w:sz w:val="24"/>
          <w:szCs w:val="24"/>
        </w:rPr>
        <w:t xml:space="preserve">ne dugotrajne imovine </w:t>
      </w:r>
      <w:r w:rsidR="00C83A2D" w:rsidRPr="00B10604">
        <w:rPr>
          <w:rFonts w:cstheme="minorHAnsi"/>
          <w:sz w:val="24"/>
          <w:szCs w:val="24"/>
        </w:rPr>
        <w:t>(šifra 02)</w:t>
      </w:r>
      <w:r w:rsidR="00E4704D">
        <w:rPr>
          <w:rFonts w:cstheme="minorHAnsi"/>
          <w:sz w:val="24"/>
          <w:szCs w:val="24"/>
        </w:rPr>
        <w:t xml:space="preserve"> koju uglavnom čine</w:t>
      </w:r>
      <w:r w:rsidR="00971872">
        <w:rPr>
          <w:rFonts w:cstheme="minorHAnsi"/>
          <w:sz w:val="24"/>
          <w:szCs w:val="24"/>
        </w:rPr>
        <w:t xml:space="preserve"> uređaji, strojevi i oprema za ostale namjene u iznosu 146.529,71 eura te</w:t>
      </w:r>
      <w:r w:rsidR="00E4704D">
        <w:rPr>
          <w:rFonts w:cstheme="minorHAnsi"/>
          <w:sz w:val="24"/>
          <w:szCs w:val="24"/>
        </w:rPr>
        <w:t xml:space="preserve"> uredska oprema i namještaj</w:t>
      </w:r>
      <w:r w:rsidR="00C83A2D" w:rsidRPr="00B10604">
        <w:rPr>
          <w:rFonts w:cstheme="minorHAnsi"/>
          <w:sz w:val="24"/>
          <w:szCs w:val="24"/>
        </w:rPr>
        <w:t xml:space="preserve"> u iznosu </w:t>
      </w:r>
      <w:r w:rsidR="00C83A2D">
        <w:rPr>
          <w:rFonts w:cstheme="minorHAnsi"/>
          <w:sz w:val="24"/>
          <w:szCs w:val="24"/>
        </w:rPr>
        <w:t>11.</w:t>
      </w:r>
      <w:r w:rsidR="00971872">
        <w:rPr>
          <w:rFonts w:cstheme="minorHAnsi"/>
          <w:sz w:val="24"/>
          <w:szCs w:val="24"/>
        </w:rPr>
        <w:t>942,92</w:t>
      </w:r>
      <w:r w:rsidR="00C83A2D">
        <w:rPr>
          <w:rFonts w:cstheme="minorHAnsi"/>
          <w:sz w:val="24"/>
          <w:szCs w:val="24"/>
        </w:rPr>
        <w:t xml:space="preserve"> </w:t>
      </w:r>
      <w:r w:rsidR="00971872">
        <w:rPr>
          <w:rFonts w:cstheme="minorHAnsi"/>
          <w:sz w:val="24"/>
          <w:szCs w:val="24"/>
        </w:rPr>
        <w:t>eura.</w:t>
      </w:r>
      <w:r w:rsidR="00E4704D">
        <w:rPr>
          <w:rFonts w:cstheme="minorHAnsi"/>
          <w:sz w:val="24"/>
          <w:szCs w:val="24"/>
        </w:rPr>
        <w:t xml:space="preserve"> </w:t>
      </w:r>
      <w:r w:rsidR="00971872">
        <w:rPr>
          <w:rFonts w:cstheme="minorHAnsi"/>
          <w:sz w:val="24"/>
          <w:szCs w:val="24"/>
        </w:rPr>
        <w:t xml:space="preserve">Uređaji, strojevi i </w:t>
      </w:r>
      <w:r w:rsidR="009204BD">
        <w:rPr>
          <w:rFonts w:cstheme="minorHAnsi"/>
          <w:sz w:val="24"/>
          <w:szCs w:val="24"/>
        </w:rPr>
        <w:t>oprema za ostale namjene</w:t>
      </w:r>
      <w:r w:rsidR="00D248AB">
        <w:rPr>
          <w:rFonts w:cstheme="minorHAnsi"/>
          <w:sz w:val="24"/>
          <w:szCs w:val="24"/>
        </w:rPr>
        <w:t xml:space="preserve"> na šifri 0227</w:t>
      </w:r>
      <w:r w:rsidR="00C83A2D">
        <w:rPr>
          <w:rFonts w:cstheme="minorHAnsi"/>
          <w:sz w:val="24"/>
          <w:szCs w:val="24"/>
        </w:rPr>
        <w:t xml:space="preserve"> uvećana</w:t>
      </w:r>
      <w:r w:rsidR="001C6432">
        <w:rPr>
          <w:rFonts w:cstheme="minorHAnsi"/>
          <w:sz w:val="24"/>
          <w:szCs w:val="24"/>
        </w:rPr>
        <w:t xml:space="preserve"> je za 4</w:t>
      </w:r>
      <w:r w:rsidR="009204BD">
        <w:rPr>
          <w:rFonts w:cstheme="minorHAnsi"/>
          <w:sz w:val="24"/>
          <w:szCs w:val="24"/>
        </w:rPr>
        <w:t>34,90%</w:t>
      </w:r>
      <w:r w:rsidR="00C83A2D">
        <w:rPr>
          <w:rFonts w:cstheme="minorHAnsi"/>
          <w:sz w:val="24"/>
          <w:szCs w:val="24"/>
        </w:rPr>
        <w:t xml:space="preserve"> u odnosu na prethodno razdoblje </w:t>
      </w:r>
      <w:r w:rsidRPr="00B10604">
        <w:rPr>
          <w:rFonts w:cstheme="minorHAnsi"/>
          <w:sz w:val="24"/>
          <w:szCs w:val="24"/>
        </w:rPr>
        <w:t xml:space="preserve">zbog </w:t>
      </w:r>
      <w:r w:rsidR="00C83A2D">
        <w:rPr>
          <w:rFonts w:cstheme="minorHAnsi"/>
          <w:sz w:val="24"/>
          <w:szCs w:val="24"/>
        </w:rPr>
        <w:t xml:space="preserve">nabave </w:t>
      </w:r>
      <w:r w:rsidR="009204BD">
        <w:rPr>
          <w:rFonts w:cstheme="minorHAnsi"/>
          <w:sz w:val="24"/>
          <w:szCs w:val="24"/>
        </w:rPr>
        <w:t>dimmera za kontrolu svjetla u dvorani, 2 projektora, MP3 + slušalica, stroja za dim, protupožarnog ormarića</w:t>
      </w:r>
      <w:r w:rsidR="0041258F">
        <w:rPr>
          <w:rFonts w:cstheme="minorHAnsi"/>
          <w:sz w:val="24"/>
          <w:szCs w:val="24"/>
        </w:rPr>
        <w:t xml:space="preserve"> i pisača</w:t>
      </w:r>
      <w:r w:rsidR="00C83A2D">
        <w:rPr>
          <w:rFonts w:cstheme="minorHAnsi"/>
          <w:sz w:val="24"/>
          <w:szCs w:val="24"/>
        </w:rPr>
        <w:t>.</w:t>
      </w:r>
    </w:p>
    <w:p w14:paraId="483E8C0D" w14:textId="76D87E26" w:rsidR="00EF433D" w:rsidRPr="00B10604" w:rsidRDefault="00EF433D" w:rsidP="001C37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Nove nabavke </w:t>
      </w:r>
      <w:r w:rsidR="0041258F">
        <w:rPr>
          <w:rFonts w:cstheme="minorHAnsi"/>
          <w:sz w:val="24"/>
          <w:szCs w:val="24"/>
        </w:rPr>
        <w:t>uredske opreme i namještaja</w:t>
      </w:r>
      <w:r>
        <w:rPr>
          <w:rFonts w:cstheme="minorHAnsi"/>
          <w:sz w:val="24"/>
          <w:szCs w:val="24"/>
        </w:rPr>
        <w:t xml:space="preserve"> odnose se na nabavu </w:t>
      </w:r>
      <w:r w:rsidR="0041258F">
        <w:rPr>
          <w:rFonts w:cstheme="minorHAnsi"/>
          <w:sz w:val="24"/>
          <w:szCs w:val="24"/>
        </w:rPr>
        <w:t xml:space="preserve">zavjesa i tepiha. </w:t>
      </w:r>
      <w:r w:rsidR="00E4704D">
        <w:rPr>
          <w:rFonts w:cstheme="minorHAnsi"/>
          <w:sz w:val="24"/>
          <w:szCs w:val="24"/>
        </w:rPr>
        <w:t>Šifra 022</w:t>
      </w:r>
      <w:r w:rsidR="00D248AB">
        <w:rPr>
          <w:rFonts w:cstheme="minorHAnsi"/>
          <w:sz w:val="24"/>
          <w:szCs w:val="24"/>
        </w:rPr>
        <w:t xml:space="preserve">1 </w:t>
      </w:r>
      <w:r w:rsidR="00E4704D">
        <w:rPr>
          <w:rFonts w:cstheme="minorHAnsi"/>
          <w:sz w:val="24"/>
          <w:szCs w:val="24"/>
        </w:rPr>
        <w:t xml:space="preserve">na kraju razdoblja iznosi </w:t>
      </w:r>
      <w:r w:rsidR="00D248AB">
        <w:rPr>
          <w:rFonts w:cstheme="minorHAnsi"/>
          <w:sz w:val="24"/>
          <w:szCs w:val="24"/>
        </w:rPr>
        <w:t>11.942,92 eura što je uvećanje za 8,20% u odnosu na 2024. godinu.</w:t>
      </w:r>
    </w:p>
    <w:p w14:paraId="35ECFFE3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0217FCE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B10604">
        <w:rPr>
          <w:rFonts w:cstheme="minorHAnsi"/>
          <w:b/>
          <w:bCs/>
          <w:sz w:val="24"/>
          <w:szCs w:val="24"/>
        </w:rPr>
        <w:t>Financijska imovina (šifra 1)</w:t>
      </w:r>
    </w:p>
    <w:p w14:paraId="0030E199" w14:textId="20F0261A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 xml:space="preserve">Promjena nastala </w:t>
      </w:r>
      <w:r w:rsidR="00EF433D">
        <w:rPr>
          <w:rFonts w:eastAsia="Calibri" w:cstheme="minorHAnsi"/>
          <w:bCs/>
          <w:sz w:val="24"/>
          <w:szCs w:val="24"/>
        </w:rPr>
        <w:t>uvećanjem</w:t>
      </w:r>
      <w:r w:rsidRPr="00B10604">
        <w:rPr>
          <w:rFonts w:eastAsia="Calibri" w:cstheme="minorHAnsi"/>
          <w:bCs/>
          <w:sz w:val="24"/>
          <w:szCs w:val="24"/>
        </w:rPr>
        <w:t xml:space="preserve"> financijske imovine uzrokovala je ukupno </w:t>
      </w:r>
      <w:r w:rsidR="00EF433D">
        <w:rPr>
          <w:rFonts w:eastAsia="Calibri" w:cstheme="minorHAnsi"/>
          <w:bCs/>
          <w:sz w:val="24"/>
          <w:szCs w:val="24"/>
        </w:rPr>
        <w:t>uvećanje</w:t>
      </w:r>
      <w:r w:rsidRPr="00B10604">
        <w:rPr>
          <w:rFonts w:eastAsia="Calibri" w:cstheme="minorHAnsi"/>
          <w:bCs/>
          <w:sz w:val="24"/>
          <w:szCs w:val="24"/>
        </w:rPr>
        <w:t xml:space="preserve"> imovine.</w:t>
      </w:r>
    </w:p>
    <w:p w14:paraId="6E4B634D" w14:textId="7EFC9E1C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>Stanje na dan 31.12.202</w:t>
      </w:r>
      <w:r w:rsidR="00D248AB">
        <w:rPr>
          <w:rFonts w:eastAsia="Calibri" w:cstheme="minorHAnsi"/>
          <w:bCs/>
          <w:sz w:val="24"/>
          <w:szCs w:val="24"/>
        </w:rPr>
        <w:t>4</w:t>
      </w:r>
      <w:r w:rsidRPr="00B10604">
        <w:rPr>
          <w:rFonts w:eastAsia="Calibri" w:cstheme="minorHAnsi"/>
          <w:bCs/>
          <w:sz w:val="24"/>
          <w:szCs w:val="24"/>
        </w:rPr>
        <w:t xml:space="preserve">. (šifra 1) iznosi </w:t>
      </w:r>
      <w:r w:rsidR="00D248AB">
        <w:rPr>
          <w:rFonts w:eastAsia="Calibri" w:cstheme="minorHAnsi"/>
          <w:bCs/>
          <w:sz w:val="24"/>
          <w:szCs w:val="24"/>
        </w:rPr>
        <w:t>73.333,11</w:t>
      </w:r>
      <w:r w:rsidR="00803829">
        <w:rPr>
          <w:rFonts w:eastAsia="Calibri" w:cstheme="minorHAnsi"/>
          <w:bCs/>
          <w:sz w:val="24"/>
          <w:szCs w:val="24"/>
        </w:rPr>
        <w:t xml:space="preserve"> </w:t>
      </w:r>
      <w:r w:rsidR="00D248AB">
        <w:rPr>
          <w:rFonts w:eastAsia="Calibri" w:cstheme="minorHAnsi"/>
          <w:bCs/>
          <w:sz w:val="24"/>
          <w:szCs w:val="24"/>
        </w:rPr>
        <w:t>eura</w:t>
      </w:r>
      <w:r w:rsidRPr="00B10604">
        <w:rPr>
          <w:rFonts w:eastAsia="Calibri" w:cstheme="minorHAnsi"/>
          <w:bCs/>
          <w:sz w:val="24"/>
          <w:szCs w:val="24"/>
        </w:rPr>
        <w:t xml:space="preserve"> dok je na dan 01.01.202</w:t>
      </w:r>
      <w:r w:rsidR="00D248AB">
        <w:rPr>
          <w:rFonts w:eastAsia="Calibri" w:cstheme="minorHAnsi"/>
          <w:bCs/>
          <w:sz w:val="24"/>
          <w:szCs w:val="24"/>
        </w:rPr>
        <w:t>4</w:t>
      </w:r>
      <w:r w:rsidRPr="00B10604">
        <w:rPr>
          <w:rFonts w:eastAsia="Calibri" w:cstheme="minorHAnsi"/>
          <w:bCs/>
          <w:sz w:val="24"/>
          <w:szCs w:val="24"/>
        </w:rPr>
        <w:t xml:space="preserve">. vrijednost financijske imovine iznosila </w:t>
      </w:r>
      <w:r w:rsidR="00D248AB">
        <w:rPr>
          <w:rFonts w:eastAsia="Calibri" w:cstheme="minorHAnsi"/>
          <w:bCs/>
          <w:sz w:val="24"/>
          <w:szCs w:val="24"/>
        </w:rPr>
        <w:t>30.370,88</w:t>
      </w:r>
      <w:r w:rsidR="00803829">
        <w:rPr>
          <w:rFonts w:eastAsia="Calibri" w:cstheme="minorHAnsi"/>
          <w:bCs/>
          <w:sz w:val="24"/>
          <w:szCs w:val="24"/>
        </w:rPr>
        <w:t xml:space="preserve"> </w:t>
      </w:r>
      <w:r w:rsidR="00D248AB">
        <w:rPr>
          <w:rFonts w:eastAsia="Calibri" w:cstheme="minorHAnsi"/>
          <w:bCs/>
          <w:sz w:val="24"/>
          <w:szCs w:val="24"/>
        </w:rPr>
        <w:t>eura</w:t>
      </w:r>
      <w:r w:rsidRPr="00B10604">
        <w:rPr>
          <w:rFonts w:eastAsia="Calibri" w:cstheme="minorHAnsi"/>
          <w:bCs/>
          <w:sz w:val="24"/>
          <w:szCs w:val="24"/>
        </w:rPr>
        <w:t>.</w:t>
      </w:r>
      <w:r w:rsidR="00803829">
        <w:rPr>
          <w:rFonts w:eastAsia="Calibri" w:cstheme="minorHAnsi"/>
          <w:bCs/>
          <w:sz w:val="24"/>
          <w:szCs w:val="24"/>
        </w:rPr>
        <w:t xml:space="preserve"> </w:t>
      </w:r>
    </w:p>
    <w:p w14:paraId="02849F43" w14:textId="1FEFB56E" w:rsidR="001C3748" w:rsidRDefault="00803829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 xml:space="preserve">Na </w:t>
      </w:r>
      <w:r w:rsidR="00EB148A">
        <w:rPr>
          <w:rFonts w:eastAsia="Calibri" w:cstheme="minorHAnsi"/>
          <w:bCs/>
          <w:sz w:val="24"/>
          <w:szCs w:val="24"/>
        </w:rPr>
        <w:t>u</w:t>
      </w:r>
      <w:r>
        <w:rPr>
          <w:rFonts w:eastAsia="Calibri" w:cstheme="minorHAnsi"/>
          <w:bCs/>
          <w:sz w:val="24"/>
          <w:szCs w:val="24"/>
        </w:rPr>
        <w:t>većanje</w:t>
      </w:r>
      <w:r w:rsidR="006826BB">
        <w:rPr>
          <w:rFonts w:eastAsia="Calibri" w:cstheme="minorHAnsi"/>
          <w:bCs/>
          <w:sz w:val="24"/>
          <w:szCs w:val="24"/>
        </w:rPr>
        <w:t xml:space="preserve"> od </w:t>
      </w:r>
      <w:r w:rsidR="007621E3">
        <w:rPr>
          <w:rFonts w:eastAsia="Calibri" w:cstheme="minorHAnsi"/>
          <w:bCs/>
          <w:sz w:val="24"/>
          <w:szCs w:val="24"/>
        </w:rPr>
        <w:t>1</w:t>
      </w:r>
      <w:r w:rsidR="006826BB">
        <w:rPr>
          <w:rFonts w:eastAsia="Calibri" w:cstheme="minorHAnsi"/>
          <w:bCs/>
          <w:sz w:val="24"/>
          <w:szCs w:val="24"/>
        </w:rPr>
        <w:t>41,50%</w:t>
      </w:r>
      <w:r>
        <w:rPr>
          <w:rFonts w:eastAsia="Calibri" w:cstheme="minorHAnsi"/>
          <w:bCs/>
          <w:sz w:val="24"/>
          <w:szCs w:val="24"/>
        </w:rPr>
        <w:t xml:space="preserve"> najznačajnije utječe povećanje potraživanja za prihode poslovanja (šifra 16)</w:t>
      </w:r>
      <w:r w:rsidR="006756F2">
        <w:rPr>
          <w:rFonts w:eastAsia="Calibri" w:cstheme="minorHAnsi"/>
          <w:bCs/>
          <w:sz w:val="24"/>
          <w:szCs w:val="24"/>
        </w:rPr>
        <w:t xml:space="preserve">. Do </w:t>
      </w:r>
      <w:r w:rsidR="00EB148A">
        <w:rPr>
          <w:rFonts w:eastAsia="Calibri" w:cstheme="minorHAnsi"/>
          <w:bCs/>
          <w:sz w:val="24"/>
          <w:szCs w:val="24"/>
        </w:rPr>
        <w:t>u</w:t>
      </w:r>
      <w:r w:rsidR="006756F2">
        <w:rPr>
          <w:rFonts w:eastAsia="Calibri" w:cstheme="minorHAnsi"/>
          <w:bCs/>
          <w:sz w:val="24"/>
          <w:szCs w:val="24"/>
        </w:rPr>
        <w:t xml:space="preserve">većanja je </w:t>
      </w:r>
      <w:bookmarkStart w:id="1" w:name="_Hlk157419380"/>
      <w:r w:rsidR="006756F2">
        <w:rPr>
          <w:rFonts w:eastAsia="Calibri" w:cstheme="minorHAnsi"/>
          <w:bCs/>
          <w:sz w:val="24"/>
          <w:szCs w:val="24"/>
        </w:rPr>
        <w:t xml:space="preserve">nastalo zbog </w:t>
      </w:r>
      <w:bookmarkEnd w:id="1"/>
      <w:r w:rsidR="00B40EBC">
        <w:rPr>
          <w:rFonts w:eastAsia="Calibri" w:cstheme="minorHAnsi"/>
          <w:bCs/>
          <w:sz w:val="24"/>
          <w:szCs w:val="24"/>
        </w:rPr>
        <w:t xml:space="preserve">uplata prihoda po vlastitim izvorima financiranja, a nerealizacije rashoda po istim izvorima koji će se realizirati u 2025. godini. Najveći dio potraživanja odnosi se na </w:t>
      </w:r>
      <w:r w:rsidR="00207F54">
        <w:rPr>
          <w:rFonts w:eastAsia="Calibri" w:cstheme="minorHAnsi"/>
          <w:bCs/>
          <w:sz w:val="24"/>
          <w:szCs w:val="24"/>
        </w:rPr>
        <w:t>Potraživanja proračunskih korisnika za sredstva uplaćena u nadležni proračun i za prihode od HZZO-a na temelju ugovornih obveza</w:t>
      </w:r>
      <w:r w:rsidR="00E66317">
        <w:rPr>
          <w:rFonts w:eastAsia="Calibri" w:cstheme="minorHAnsi"/>
          <w:bCs/>
          <w:sz w:val="24"/>
          <w:szCs w:val="24"/>
        </w:rPr>
        <w:t xml:space="preserve"> (šifra 167)</w:t>
      </w:r>
      <w:r w:rsidR="00207F54">
        <w:rPr>
          <w:rFonts w:eastAsia="Calibri" w:cstheme="minorHAnsi"/>
          <w:bCs/>
          <w:sz w:val="24"/>
          <w:szCs w:val="24"/>
        </w:rPr>
        <w:t xml:space="preserve">, a na izvor sredstava Projekt Moving Balkans  - regionalna plesna platforma po kojem je ostalo </w:t>
      </w:r>
      <w:r w:rsidR="00E66317">
        <w:rPr>
          <w:rFonts w:eastAsia="Calibri" w:cstheme="minorHAnsi"/>
          <w:bCs/>
          <w:sz w:val="24"/>
          <w:szCs w:val="24"/>
        </w:rPr>
        <w:t>43.632,80 eura raspoloživih sredstava u 2025. godini</w:t>
      </w:r>
      <w:r w:rsidR="00B6247F">
        <w:rPr>
          <w:rFonts w:eastAsia="Calibri" w:cstheme="minorHAnsi"/>
          <w:bCs/>
          <w:sz w:val="24"/>
          <w:szCs w:val="24"/>
        </w:rPr>
        <w:t xml:space="preserve">. </w:t>
      </w:r>
      <w:r w:rsidR="00E66317">
        <w:rPr>
          <w:rFonts w:eastAsia="Calibri" w:cstheme="minorHAnsi"/>
          <w:bCs/>
          <w:sz w:val="24"/>
          <w:szCs w:val="24"/>
        </w:rPr>
        <w:t>Dok</w:t>
      </w:r>
      <w:r w:rsidR="00B6247F">
        <w:rPr>
          <w:rFonts w:eastAsia="Calibri" w:cstheme="minorHAnsi"/>
          <w:bCs/>
          <w:sz w:val="24"/>
          <w:szCs w:val="24"/>
        </w:rPr>
        <w:t xml:space="preserve"> je veći dio potraživanja za prihode </w:t>
      </w:r>
      <w:r w:rsidR="00E66317">
        <w:rPr>
          <w:rFonts w:eastAsia="Calibri" w:cstheme="minorHAnsi"/>
          <w:bCs/>
          <w:sz w:val="24"/>
          <w:szCs w:val="24"/>
        </w:rPr>
        <w:t>od prodaje proizvoda i robe  te pruženih usluga (šifra 166) naplaćen u 2024. godini, preostali iznos od 6.770,50 eura odnosi se na nenaplaćene usluge najma prostora ostvarene u 2024. godini.</w:t>
      </w:r>
    </w:p>
    <w:p w14:paraId="6412142F" w14:textId="77777777" w:rsidR="00E66317" w:rsidRPr="00B10604" w:rsidRDefault="00E66317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34DE70C8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>OBVEZE I VLASTITI IZVORI (šifra B003)</w:t>
      </w:r>
    </w:p>
    <w:p w14:paraId="54997F46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1FB49060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>Obveze (šifra 2)</w:t>
      </w:r>
    </w:p>
    <w:p w14:paraId="6D137496" w14:textId="20B0EF47" w:rsidR="001C3748" w:rsidRPr="00B10604" w:rsidRDefault="001C3748" w:rsidP="001C374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10604">
        <w:rPr>
          <w:rFonts w:asciiTheme="minorHAnsi" w:hAnsiTheme="minorHAnsi" w:cstheme="minorHAnsi"/>
        </w:rPr>
        <w:t>Obveze iskazane na dan 31. prosinca 202</w:t>
      </w:r>
      <w:r w:rsidR="00F26CB9">
        <w:rPr>
          <w:rFonts w:asciiTheme="minorHAnsi" w:hAnsiTheme="minorHAnsi" w:cstheme="minorHAnsi"/>
        </w:rPr>
        <w:t>4</w:t>
      </w:r>
      <w:r w:rsidRPr="00B10604">
        <w:rPr>
          <w:rFonts w:asciiTheme="minorHAnsi" w:hAnsiTheme="minorHAnsi" w:cstheme="minorHAnsi"/>
        </w:rPr>
        <w:t xml:space="preserve">. godine iznose </w:t>
      </w:r>
      <w:r w:rsidR="00F26CB9">
        <w:rPr>
          <w:rFonts w:asciiTheme="minorHAnsi" w:hAnsiTheme="minorHAnsi" w:cstheme="minorHAnsi"/>
        </w:rPr>
        <w:t xml:space="preserve">51.699,15 eura </w:t>
      </w:r>
      <w:r w:rsidRPr="00B10604">
        <w:rPr>
          <w:rFonts w:asciiTheme="minorHAnsi" w:hAnsiTheme="minorHAnsi" w:cstheme="minorHAnsi"/>
        </w:rPr>
        <w:t xml:space="preserve">i u odnosu na prethodnu godinu su </w:t>
      </w:r>
      <w:r w:rsidR="00F26CB9">
        <w:rPr>
          <w:rFonts w:asciiTheme="minorHAnsi" w:hAnsiTheme="minorHAnsi" w:cstheme="minorHAnsi"/>
        </w:rPr>
        <w:t>manje za 23,20%.</w:t>
      </w:r>
      <w:r w:rsidRPr="00B10604">
        <w:rPr>
          <w:rFonts w:asciiTheme="minorHAnsi" w:hAnsiTheme="minorHAnsi" w:cstheme="minorHAnsi"/>
        </w:rPr>
        <w:t xml:space="preserve"> </w:t>
      </w:r>
    </w:p>
    <w:p w14:paraId="1E6C83CC" w14:textId="46EE6329" w:rsidR="001C3748" w:rsidRDefault="001C3748" w:rsidP="001C374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10604">
        <w:rPr>
          <w:rFonts w:asciiTheme="minorHAnsi" w:hAnsiTheme="minorHAnsi" w:cstheme="minorHAnsi"/>
        </w:rPr>
        <w:t>Obveze za rashode poslovanja sadrže obveze koje se u trenutku nastanka priznaju kao rashodi na računima razreda 3 - rashodi poslovanja, a čine ih obveze za zaposlene, obveze za materijalne rashode</w:t>
      </w:r>
      <w:r w:rsidR="006B25CA">
        <w:rPr>
          <w:rFonts w:asciiTheme="minorHAnsi" w:hAnsiTheme="minorHAnsi" w:cstheme="minorHAnsi"/>
        </w:rPr>
        <w:t xml:space="preserve"> </w:t>
      </w:r>
      <w:r w:rsidRPr="00B10604">
        <w:rPr>
          <w:rFonts w:asciiTheme="minorHAnsi" w:hAnsiTheme="minorHAnsi" w:cstheme="minorHAnsi"/>
        </w:rPr>
        <w:t>i ostale tekuće obveze.</w:t>
      </w:r>
    </w:p>
    <w:p w14:paraId="62E9C22A" w14:textId="77777777" w:rsidR="00727B77" w:rsidRDefault="00727B77" w:rsidP="001C374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18DA22A7" w14:textId="753C242A" w:rsidR="006F6114" w:rsidRDefault="00EB148A" w:rsidP="006F611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10604">
        <w:rPr>
          <w:rFonts w:asciiTheme="minorHAnsi" w:hAnsiTheme="minorHAnsi" w:cstheme="minorHAnsi"/>
        </w:rPr>
        <w:t xml:space="preserve">Značajnije </w:t>
      </w:r>
      <w:r>
        <w:rPr>
          <w:rFonts w:asciiTheme="minorHAnsi" w:hAnsiTheme="minorHAnsi" w:cstheme="minorHAnsi"/>
        </w:rPr>
        <w:t>uvećanje</w:t>
      </w:r>
      <w:r w:rsidRPr="00B10604">
        <w:rPr>
          <w:rFonts w:asciiTheme="minorHAnsi" w:hAnsiTheme="minorHAnsi" w:cstheme="minorHAnsi"/>
        </w:rPr>
        <w:t xml:space="preserve"> obveza u usporedbi s prethodnom godinom je nastalo na stavka</w:t>
      </w:r>
      <w:r w:rsidR="006B25CA">
        <w:rPr>
          <w:rFonts w:asciiTheme="minorHAnsi" w:hAnsiTheme="minorHAnsi" w:cstheme="minorHAnsi"/>
        </w:rPr>
        <w:t>ma obveza za zaposlene (šifra 231</w:t>
      </w:r>
      <w:r w:rsidRPr="00B10604">
        <w:rPr>
          <w:rFonts w:asciiTheme="minorHAnsi" w:hAnsiTheme="minorHAnsi" w:cstheme="minorHAnsi"/>
        </w:rPr>
        <w:t>)</w:t>
      </w:r>
      <w:r w:rsidR="006B25CA">
        <w:rPr>
          <w:rFonts w:asciiTheme="minorHAnsi" w:hAnsiTheme="minorHAnsi" w:cstheme="minorHAnsi"/>
        </w:rPr>
        <w:t>, i to za 62,00%</w:t>
      </w:r>
      <w:r w:rsidRPr="00B10604">
        <w:rPr>
          <w:rFonts w:asciiTheme="minorHAnsi" w:hAnsiTheme="minorHAnsi" w:cstheme="minorHAnsi"/>
        </w:rPr>
        <w:t xml:space="preserve"> </w:t>
      </w:r>
      <w:r w:rsidR="006B25CA">
        <w:rPr>
          <w:rFonts w:eastAsia="Calibri" w:cstheme="minorHAnsi"/>
          <w:bCs/>
        </w:rPr>
        <w:t>zbog povećanja rashoda za zaposlene u odnosu na prethodno razdoblje</w:t>
      </w:r>
      <w:r>
        <w:rPr>
          <w:rFonts w:eastAsia="Calibri" w:cstheme="minorHAnsi"/>
          <w:bCs/>
        </w:rPr>
        <w:t>.</w:t>
      </w:r>
      <w:r w:rsidR="00727B77">
        <w:rPr>
          <w:rFonts w:eastAsia="Calibri" w:cstheme="minorHAnsi"/>
          <w:bCs/>
        </w:rPr>
        <w:t xml:space="preserve"> </w:t>
      </w:r>
      <w:r w:rsidR="006F6114">
        <w:rPr>
          <w:rFonts w:eastAsia="Calibri" w:cstheme="minorHAnsi"/>
          <w:bCs/>
        </w:rPr>
        <w:t xml:space="preserve">Obveze za zaposlene </w:t>
      </w:r>
      <w:r w:rsidR="00112A7C">
        <w:rPr>
          <w:rFonts w:eastAsia="Calibri" w:cstheme="minorHAnsi"/>
          <w:bCs/>
        </w:rPr>
        <w:t xml:space="preserve">iznose 37.686,66 eura i u potpunosti se odnose </w:t>
      </w:r>
      <w:r w:rsidR="006F6114">
        <w:rPr>
          <w:rFonts w:eastAsia="Calibri" w:cstheme="minorHAnsi"/>
          <w:bCs/>
        </w:rPr>
        <w:t>na r</w:t>
      </w:r>
      <w:r w:rsidR="00112A7C">
        <w:rPr>
          <w:rFonts w:eastAsia="Calibri" w:cstheme="minorHAnsi"/>
          <w:bCs/>
        </w:rPr>
        <w:t>ashod plaće za zaposlene za pros</w:t>
      </w:r>
      <w:r w:rsidR="006F6114">
        <w:rPr>
          <w:rFonts w:eastAsia="Calibri" w:cstheme="minorHAnsi"/>
          <w:bCs/>
        </w:rPr>
        <w:t xml:space="preserve">inac 2024. </w:t>
      </w:r>
      <w:r w:rsidR="006F6114" w:rsidRPr="00B10604">
        <w:rPr>
          <w:rFonts w:asciiTheme="minorHAnsi" w:hAnsiTheme="minorHAnsi" w:cstheme="minorHAnsi"/>
        </w:rPr>
        <w:t>Plaća za prosinac 202</w:t>
      </w:r>
      <w:r w:rsidR="006F6114">
        <w:rPr>
          <w:rFonts w:asciiTheme="minorHAnsi" w:hAnsiTheme="minorHAnsi" w:cstheme="minorHAnsi"/>
        </w:rPr>
        <w:t>4</w:t>
      </w:r>
      <w:r w:rsidR="006F6114" w:rsidRPr="00B10604">
        <w:rPr>
          <w:rFonts w:asciiTheme="minorHAnsi" w:hAnsiTheme="minorHAnsi" w:cstheme="minorHAnsi"/>
        </w:rPr>
        <w:t>. isplaćena je u siječnju 202</w:t>
      </w:r>
      <w:r w:rsidR="006F6114">
        <w:rPr>
          <w:rFonts w:asciiTheme="minorHAnsi" w:hAnsiTheme="minorHAnsi" w:cstheme="minorHAnsi"/>
        </w:rPr>
        <w:t>5</w:t>
      </w:r>
      <w:r w:rsidR="006F6114" w:rsidRPr="00B10604">
        <w:rPr>
          <w:rFonts w:asciiTheme="minorHAnsi" w:hAnsiTheme="minorHAnsi" w:cstheme="minorHAnsi"/>
        </w:rPr>
        <w:t>. godine</w:t>
      </w:r>
      <w:r w:rsidR="006F6114">
        <w:rPr>
          <w:rFonts w:asciiTheme="minorHAnsi" w:hAnsiTheme="minorHAnsi" w:cstheme="minorHAnsi"/>
        </w:rPr>
        <w:t>.</w:t>
      </w:r>
    </w:p>
    <w:p w14:paraId="65827D44" w14:textId="0C71F8F9" w:rsidR="00727B77" w:rsidRPr="00B10604" w:rsidRDefault="00727B77" w:rsidP="00727B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B10604">
        <w:rPr>
          <w:rFonts w:asciiTheme="minorHAnsi" w:hAnsiTheme="minorHAnsi" w:cstheme="minorHAnsi"/>
        </w:rPr>
        <w:t xml:space="preserve">Obveze za materijalne rashode (šifra 232) iznose </w:t>
      </w:r>
      <w:r w:rsidR="006B25CA">
        <w:rPr>
          <w:rFonts w:asciiTheme="minorHAnsi" w:hAnsiTheme="minorHAnsi" w:cstheme="minorHAnsi"/>
        </w:rPr>
        <w:t>10.548,25 eura</w:t>
      </w:r>
      <w:r w:rsidRPr="00B10604">
        <w:rPr>
          <w:rFonts w:asciiTheme="minorHAnsi" w:hAnsiTheme="minorHAnsi" w:cstheme="minorHAnsi"/>
        </w:rPr>
        <w:t xml:space="preserve">. Najznačajnije stavke u okviru materijalnih rashoda su obveze za </w:t>
      </w:r>
      <w:r w:rsidR="006F6114">
        <w:rPr>
          <w:rFonts w:asciiTheme="minorHAnsi" w:hAnsiTheme="minorHAnsi" w:cstheme="minorHAnsi"/>
        </w:rPr>
        <w:t xml:space="preserve">redovne </w:t>
      </w:r>
      <w:r w:rsidR="009704AB">
        <w:rPr>
          <w:rFonts w:asciiTheme="minorHAnsi" w:hAnsiTheme="minorHAnsi" w:cstheme="minorHAnsi"/>
        </w:rPr>
        <w:t xml:space="preserve">usluge </w:t>
      </w:r>
      <w:r w:rsidRPr="00B10604">
        <w:rPr>
          <w:rFonts w:asciiTheme="minorHAnsi" w:hAnsiTheme="minorHAnsi" w:cstheme="minorHAnsi"/>
        </w:rPr>
        <w:t>energij</w:t>
      </w:r>
      <w:r w:rsidR="009704AB">
        <w:rPr>
          <w:rFonts w:asciiTheme="minorHAnsi" w:hAnsiTheme="minorHAnsi" w:cstheme="minorHAnsi"/>
        </w:rPr>
        <w:t>e</w:t>
      </w:r>
      <w:r w:rsidR="006F6114">
        <w:rPr>
          <w:rFonts w:asciiTheme="minorHAnsi" w:hAnsiTheme="minorHAnsi" w:cstheme="minorHAnsi"/>
        </w:rPr>
        <w:t xml:space="preserve"> i materijala</w:t>
      </w:r>
      <w:r w:rsidRPr="00B10604">
        <w:rPr>
          <w:rFonts w:asciiTheme="minorHAnsi" w:hAnsiTheme="minorHAnsi" w:cstheme="minorHAnsi"/>
        </w:rPr>
        <w:t>, komunalne usluge,</w:t>
      </w:r>
      <w:r w:rsidR="006F6114">
        <w:rPr>
          <w:rFonts w:asciiTheme="minorHAnsi" w:hAnsiTheme="minorHAnsi" w:cstheme="minorHAnsi"/>
        </w:rPr>
        <w:t xml:space="preserve"> telefonske usluge,</w:t>
      </w:r>
      <w:r w:rsidRPr="00B10604">
        <w:rPr>
          <w:rFonts w:asciiTheme="minorHAnsi" w:hAnsiTheme="minorHAnsi" w:cstheme="minorHAnsi"/>
        </w:rPr>
        <w:t xml:space="preserve"> usluge čišćenja, </w:t>
      </w:r>
      <w:r w:rsidR="003E35DF">
        <w:rPr>
          <w:rFonts w:asciiTheme="minorHAnsi" w:hAnsiTheme="minorHAnsi" w:cstheme="minorHAnsi"/>
        </w:rPr>
        <w:t>usluge</w:t>
      </w:r>
      <w:r w:rsidR="009704AB">
        <w:rPr>
          <w:rFonts w:asciiTheme="minorHAnsi" w:hAnsiTheme="minorHAnsi" w:cstheme="minorHAnsi"/>
        </w:rPr>
        <w:t xml:space="preserve"> tekućeg i investicijskog održavanja</w:t>
      </w:r>
      <w:r w:rsidR="006F6114">
        <w:rPr>
          <w:rFonts w:asciiTheme="minorHAnsi" w:hAnsiTheme="minorHAnsi" w:cstheme="minorHAnsi"/>
        </w:rPr>
        <w:t xml:space="preserve"> te intelektualne usluge vezane uz izvedbu programa u prosincu 2024.</w:t>
      </w:r>
    </w:p>
    <w:p w14:paraId="4E83969D" w14:textId="4AD7EC67" w:rsidR="003E35DF" w:rsidRDefault="003E35DF" w:rsidP="001C374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402A730" w14:textId="08EF064A" w:rsidR="003E35DF" w:rsidRPr="00B10604" w:rsidRDefault="003E35DF" w:rsidP="001C374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Obvez</w:t>
      </w:r>
      <w:r w:rsidR="00112A7C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za nabavu nefinancijske imovine</w:t>
      </w:r>
      <w:r w:rsidR="00112A7C">
        <w:rPr>
          <w:rFonts w:asciiTheme="minorHAnsi" w:hAnsiTheme="minorHAnsi" w:cstheme="minorHAnsi"/>
        </w:rPr>
        <w:t xml:space="preserve"> (šifra 24)</w:t>
      </w:r>
      <w:r>
        <w:rPr>
          <w:rFonts w:asciiTheme="minorHAnsi" w:hAnsiTheme="minorHAnsi" w:cstheme="minorHAnsi"/>
        </w:rPr>
        <w:t xml:space="preserve"> </w:t>
      </w:r>
      <w:r w:rsidR="00112A7C">
        <w:rPr>
          <w:rFonts w:asciiTheme="minorHAnsi" w:hAnsiTheme="minorHAnsi" w:cstheme="minorHAnsi"/>
        </w:rPr>
        <w:t>nema i u potpunosti su podmirene u 2024. godini.</w:t>
      </w:r>
    </w:p>
    <w:p w14:paraId="4EF8EC48" w14:textId="77777777" w:rsidR="001C3748" w:rsidRPr="00B10604" w:rsidRDefault="001C3748" w:rsidP="001C3748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E8D768D" w14:textId="77777777" w:rsidR="001C3748" w:rsidRPr="00B10604" w:rsidRDefault="001C3748" w:rsidP="001C3748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B10604">
        <w:rPr>
          <w:rFonts w:asciiTheme="minorHAnsi" w:hAnsiTheme="minorHAnsi" w:cstheme="minorHAnsi"/>
          <w:b/>
          <w:bCs/>
        </w:rPr>
        <w:t>Vlastiti izvori (šifra 9)</w:t>
      </w:r>
    </w:p>
    <w:p w14:paraId="5409C461" w14:textId="4229E82B" w:rsidR="001C3748" w:rsidRPr="00B10604" w:rsidRDefault="001C3748" w:rsidP="001C3748">
      <w:pPr>
        <w:pStyle w:val="Default"/>
        <w:spacing w:line="276" w:lineRule="auto"/>
        <w:rPr>
          <w:rFonts w:asciiTheme="minorHAnsi" w:hAnsiTheme="minorHAnsi" w:cstheme="minorHAnsi"/>
        </w:rPr>
      </w:pPr>
      <w:r w:rsidRPr="00B10604">
        <w:rPr>
          <w:rFonts w:asciiTheme="minorHAnsi" w:hAnsiTheme="minorHAnsi" w:cstheme="minorHAnsi"/>
        </w:rPr>
        <w:lastRenderedPageBreak/>
        <w:t>Vlastit</w:t>
      </w:r>
      <w:r w:rsidR="003E35DF">
        <w:rPr>
          <w:rFonts w:asciiTheme="minorHAnsi" w:hAnsiTheme="minorHAnsi" w:cstheme="minorHAnsi"/>
        </w:rPr>
        <w:t>e</w:t>
      </w:r>
      <w:r w:rsidRPr="00B10604">
        <w:rPr>
          <w:rFonts w:asciiTheme="minorHAnsi" w:hAnsiTheme="minorHAnsi" w:cstheme="minorHAnsi"/>
        </w:rPr>
        <w:t xml:space="preserve"> izvor</w:t>
      </w:r>
      <w:r w:rsidR="003E35DF">
        <w:rPr>
          <w:rFonts w:asciiTheme="minorHAnsi" w:hAnsiTheme="minorHAnsi" w:cstheme="minorHAnsi"/>
        </w:rPr>
        <w:t>e</w:t>
      </w:r>
      <w:r w:rsidRPr="00B10604">
        <w:rPr>
          <w:rFonts w:asciiTheme="minorHAnsi" w:hAnsiTheme="minorHAnsi" w:cstheme="minorHAnsi"/>
        </w:rPr>
        <w:t xml:space="preserve"> </w:t>
      </w:r>
      <w:r w:rsidR="003E35DF">
        <w:rPr>
          <w:rFonts w:asciiTheme="minorHAnsi" w:hAnsiTheme="minorHAnsi" w:cstheme="minorHAnsi"/>
        </w:rPr>
        <w:t>čine</w:t>
      </w:r>
      <w:r w:rsidRPr="00B10604">
        <w:rPr>
          <w:rFonts w:asciiTheme="minorHAnsi" w:hAnsiTheme="minorHAnsi" w:cstheme="minorHAnsi"/>
        </w:rPr>
        <w:t xml:space="preserve"> vlastit</w:t>
      </w:r>
      <w:r w:rsidR="003E35DF">
        <w:rPr>
          <w:rFonts w:asciiTheme="minorHAnsi" w:hAnsiTheme="minorHAnsi" w:cstheme="minorHAnsi"/>
        </w:rPr>
        <w:t>i</w:t>
      </w:r>
      <w:r w:rsidRPr="00B10604">
        <w:rPr>
          <w:rFonts w:asciiTheme="minorHAnsi" w:hAnsiTheme="minorHAnsi" w:cstheme="minorHAnsi"/>
        </w:rPr>
        <w:t xml:space="preserve"> izvor</w:t>
      </w:r>
      <w:r w:rsidR="003E35DF">
        <w:rPr>
          <w:rFonts w:asciiTheme="minorHAnsi" w:hAnsiTheme="minorHAnsi" w:cstheme="minorHAnsi"/>
        </w:rPr>
        <w:t>i</w:t>
      </w:r>
      <w:r w:rsidRPr="00B10604">
        <w:rPr>
          <w:rFonts w:asciiTheme="minorHAnsi" w:hAnsiTheme="minorHAnsi" w:cstheme="minorHAnsi"/>
        </w:rPr>
        <w:t xml:space="preserve"> iz proračuna, rezultat poslovanja i obračunat</w:t>
      </w:r>
      <w:r w:rsidR="003E35DF">
        <w:rPr>
          <w:rFonts w:asciiTheme="minorHAnsi" w:hAnsiTheme="minorHAnsi" w:cstheme="minorHAnsi"/>
        </w:rPr>
        <w:t>i</w:t>
      </w:r>
      <w:r w:rsidRPr="00B10604">
        <w:rPr>
          <w:rFonts w:asciiTheme="minorHAnsi" w:hAnsiTheme="minorHAnsi" w:cstheme="minorHAnsi"/>
        </w:rPr>
        <w:t xml:space="preserve"> prihod</w:t>
      </w:r>
      <w:r w:rsidR="003E35DF">
        <w:rPr>
          <w:rFonts w:asciiTheme="minorHAnsi" w:hAnsiTheme="minorHAnsi" w:cstheme="minorHAnsi"/>
        </w:rPr>
        <w:t>i</w:t>
      </w:r>
      <w:r w:rsidRPr="00B10604">
        <w:rPr>
          <w:rFonts w:asciiTheme="minorHAnsi" w:hAnsiTheme="minorHAnsi" w:cstheme="minorHAnsi"/>
        </w:rPr>
        <w:t xml:space="preserve"> poslovanja.</w:t>
      </w:r>
    </w:p>
    <w:p w14:paraId="15BFB02E" w14:textId="77777777" w:rsidR="001C3748" w:rsidRPr="00B10604" w:rsidRDefault="001C3748" w:rsidP="001C3748">
      <w:pPr>
        <w:pStyle w:val="Default"/>
        <w:spacing w:line="276" w:lineRule="auto"/>
        <w:rPr>
          <w:rFonts w:asciiTheme="minorHAnsi" w:hAnsiTheme="minorHAnsi" w:cstheme="minorHAnsi"/>
        </w:rPr>
      </w:pPr>
      <w:r w:rsidRPr="00B10604">
        <w:rPr>
          <w:rFonts w:asciiTheme="minorHAnsi" w:hAnsiTheme="minorHAnsi" w:cstheme="minorHAnsi"/>
        </w:rPr>
        <w:t>Na temelju Pravilnika o proračunskom računovodstvu i računskom planu rezultat poslovne godine utvrđuje se sučeljavanjem prihoda i rashoda, primitaka i izdataka tekućeg razdoblja, koji se prebija sa prenesenim rezultatima po istovjetnim kategorijama iz ranijih razdoblja.</w:t>
      </w:r>
    </w:p>
    <w:p w14:paraId="75D6A09C" w14:textId="4DD286A4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>Na dan 31.12.202</w:t>
      </w:r>
      <w:r w:rsidR="00112A7C">
        <w:rPr>
          <w:rFonts w:eastAsia="Calibri" w:cstheme="minorHAnsi"/>
          <w:bCs/>
          <w:sz w:val="24"/>
          <w:szCs w:val="24"/>
        </w:rPr>
        <w:t>4</w:t>
      </w:r>
      <w:r w:rsidRPr="00B10604">
        <w:rPr>
          <w:rFonts w:eastAsia="Calibri" w:cstheme="minorHAnsi"/>
          <w:bCs/>
          <w:sz w:val="24"/>
          <w:szCs w:val="24"/>
        </w:rPr>
        <w:t>.</w:t>
      </w:r>
      <w:r w:rsidR="009E6AD7">
        <w:rPr>
          <w:rFonts w:eastAsia="Calibri" w:cstheme="minorHAnsi"/>
          <w:bCs/>
          <w:sz w:val="24"/>
          <w:szCs w:val="24"/>
        </w:rPr>
        <w:t xml:space="preserve"> </w:t>
      </w:r>
      <w:r w:rsidRPr="00B10604">
        <w:rPr>
          <w:rFonts w:eastAsia="Calibri" w:cstheme="minorHAnsi"/>
          <w:bCs/>
          <w:sz w:val="24"/>
          <w:szCs w:val="24"/>
        </w:rPr>
        <w:t>iz podataka u bilanci glavne knjige proizlaze sljedeći rezultati (šifra 922):</w:t>
      </w:r>
    </w:p>
    <w:p w14:paraId="45DC80F3" w14:textId="555DC2ED" w:rsidR="001C3748" w:rsidRPr="00B10604" w:rsidRDefault="001C3748" w:rsidP="001C374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cstheme="minorHAnsi"/>
          <w:sz w:val="24"/>
          <w:szCs w:val="24"/>
        </w:rPr>
        <w:t xml:space="preserve">Višak prihoda poslovanja 922111 – </w:t>
      </w:r>
      <w:r w:rsidR="00885449">
        <w:rPr>
          <w:rFonts w:cstheme="minorHAnsi"/>
          <w:sz w:val="24"/>
          <w:szCs w:val="24"/>
        </w:rPr>
        <w:t>61.043,25 eura</w:t>
      </w:r>
      <w:r w:rsidRPr="00B10604">
        <w:rPr>
          <w:rFonts w:cstheme="minorHAnsi"/>
          <w:sz w:val="24"/>
          <w:szCs w:val="24"/>
        </w:rPr>
        <w:t xml:space="preserve"> – vlastiti izvori</w:t>
      </w:r>
    </w:p>
    <w:p w14:paraId="374BC2EB" w14:textId="4FAF1294" w:rsidR="001C3748" w:rsidRPr="00B10604" w:rsidRDefault="001C3748" w:rsidP="001C3748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cstheme="minorHAnsi"/>
          <w:sz w:val="24"/>
          <w:szCs w:val="24"/>
        </w:rPr>
        <w:t>Manjak prihoda poslovanja 922210</w:t>
      </w:r>
      <w:r w:rsidR="0022079D">
        <w:rPr>
          <w:rFonts w:cstheme="minorHAnsi"/>
          <w:sz w:val="24"/>
          <w:szCs w:val="24"/>
        </w:rPr>
        <w:t xml:space="preserve"> (metodološki manjak)</w:t>
      </w:r>
      <w:r w:rsidRPr="00B10604">
        <w:rPr>
          <w:rFonts w:cstheme="minorHAnsi"/>
          <w:sz w:val="24"/>
          <w:szCs w:val="24"/>
        </w:rPr>
        <w:t xml:space="preserve"> – </w:t>
      </w:r>
      <w:r w:rsidR="00885449">
        <w:rPr>
          <w:rFonts w:cstheme="minorHAnsi"/>
          <w:sz w:val="24"/>
          <w:szCs w:val="24"/>
        </w:rPr>
        <w:t>44.783,29 eura</w:t>
      </w:r>
      <w:r w:rsidRPr="00B10604">
        <w:rPr>
          <w:rFonts w:cstheme="minorHAnsi"/>
          <w:sz w:val="24"/>
          <w:szCs w:val="24"/>
        </w:rPr>
        <w:t xml:space="preserve"> </w:t>
      </w:r>
      <w:bookmarkStart w:id="2" w:name="_Hlk157425955"/>
      <w:r w:rsidRPr="00B10604">
        <w:rPr>
          <w:rFonts w:cstheme="minorHAnsi"/>
          <w:sz w:val="24"/>
          <w:szCs w:val="24"/>
        </w:rPr>
        <w:t>– izvor proračun Grada</w:t>
      </w:r>
      <w:bookmarkEnd w:id="2"/>
    </w:p>
    <w:p w14:paraId="469C3558" w14:textId="77009048" w:rsidR="00885449" w:rsidRDefault="00885449" w:rsidP="001C37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>Ovim rezultatima stanje na osnovnim računima podskupine 92 – Rezultat poslovanja - na dan 31.12.2024. godine ukupno iznosi 16.259,96 eura viška od prihoda poslovanja te Ustanova bilježi kraj godine uz ukupan rezultat viška prihoda poslovanja.</w:t>
      </w:r>
    </w:p>
    <w:p w14:paraId="3417102E" w14:textId="7E957451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B10604">
        <w:rPr>
          <w:rFonts w:cstheme="minorHAnsi"/>
          <w:sz w:val="24"/>
          <w:szCs w:val="24"/>
        </w:rPr>
        <w:t>Manjak prihoda poslovanja</w:t>
      </w:r>
      <w:r w:rsidR="00885449">
        <w:rPr>
          <w:rFonts w:cstheme="minorHAnsi"/>
          <w:sz w:val="24"/>
          <w:szCs w:val="24"/>
        </w:rPr>
        <w:t xml:space="preserve"> na izvoru proračuna Grada</w:t>
      </w:r>
      <w:r w:rsidRPr="00B10604">
        <w:rPr>
          <w:rFonts w:cstheme="minorHAnsi"/>
          <w:sz w:val="24"/>
          <w:szCs w:val="24"/>
        </w:rPr>
        <w:t xml:space="preserve"> proizlazi iz načina evidentiranja rashoda prema nastanku događaja, a plaćanje istih iz riznice proračuna Grada izvršit će se u siječnju 202</w:t>
      </w:r>
      <w:r w:rsidR="00885449">
        <w:rPr>
          <w:rFonts w:cstheme="minorHAnsi"/>
          <w:sz w:val="24"/>
          <w:szCs w:val="24"/>
        </w:rPr>
        <w:t>5</w:t>
      </w:r>
      <w:r w:rsidRPr="00B10604">
        <w:rPr>
          <w:rFonts w:cstheme="minorHAnsi"/>
          <w:sz w:val="24"/>
          <w:szCs w:val="24"/>
        </w:rPr>
        <w:t xml:space="preserve">. godine. </w:t>
      </w:r>
    </w:p>
    <w:p w14:paraId="39CCE728" w14:textId="66D73659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cstheme="minorHAnsi"/>
          <w:sz w:val="24"/>
          <w:szCs w:val="24"/>
        </w:rPr>
        <w:t>U izvanbilančnim zapisima (šifra 991) evidentirana je tuđ</w:t>
      </w:r>
      <w:r w:rsidR="00F06983">
        <w:rPr>
          <w:rFonts w:cstheme="minorHAnsi"/>
          <w:sz w:val="24"/>
          <w:szCs w:val="24"/>
        </w:rPr>
        <w:t>a</w:t>
      </w:r>
      <w:r w:rsidRPr="00B10604">
        <w:rPr>
          <w:rFonts w:cstheme="minorHAnsi"/>
          <w:sz w:val="24"/>
          <w:szCs w:val="24"/>
        </w:rPr>
        <w:t xml:space="preserve"> imovin</w:t>
      </w:r>
      <w:r w:rsidR="00F06983">
        <w:rPr>
          <w:rFonts w:cstheme="minorHAnsi"/>
          <w:sz w:val="24"/>
          <w:szCs w:val="24"/>
        </w:rPr>
        <w:t>a</w:t>
      </w:r>
      <w:r w:rsidRPr="00B10604">
        <w:rPr>
          <w:rFonts w:cstheme="minorHAnsi"/>
          <w:sz w:val="24"/>
          <w:szCs w:val="24"/>
        </w:rPr>
        <w:t>. Na spomenutoj stavci iskazana je tuđa imovinu s pravom korištenja, a odnos</w:t>
      </w:r>
      <w:r w:rsidR="00587990">
        <w:rPr>
          <w:rFonts w:cstheme="minorHAnsi"/>
          <w:sz w:val="24"/>
          <w:szCs w:val="24"/>
        </w:rPr>
        <w:t>i</w:t>
      </w:r>
      <w:r w:rsidRPr="00B10604">
        <w:rPr>
          <w:rFonts w:cstheme="minorHAnsi"/>
          <w:sz w:val="24"/>
          <w:szCs w:val="24"/>
        </w:rPr>
        <w:t xml:space="preserve"> se na </w:t>
      </w:r>
      <w:r w:rsidR="00045532">
        <w:rPr>
          <w:rFonts w:cstheme="minorHAnsi"/>
          <w:sz w:val="24"/>
          <w:szCs w:val="24"/>
        </w:rPr>
        <w:t>imovinu Grada Rijeke koja je dana na korištenje Hrvatskom kulturnom domu na Sušaku.</w:t>
      </w:r>
    </w:p>
    <w:p w14:paraId="04CCC82B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3F27DCE8" w14:textId="6FBD19CC" w:rsidR="001C3748" w:rsidRPr="00B10604" w:rsidRDefault="001C3748" w:rsidP="001C374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>BILJEŠKE UZ IZVJEŠTAJ O PRIHODIMA I RASHODIMA, PRIMICIMA I IZDACIMA NA DAN 31.12.202</w:t>
      </w:r>
      <w:r w:rsidR="00B73CDD">
        <w:rPr>
          <w:rFonts w:eastAsia="Calibri" w:cstheme="minorHAnsi"/>
          <w:b/>
          <w:sz w:val="24"/>
          <w:szCs w:val="24"/>
        </w:rPr>
        <w:t>4</w:t>
      </w:r>
      <w:r w:rsidRPr="00B10604">
        <w:rPr>
          <w:rFonts w:eastAsia="Calibri" w:cstheme="minorHAnsi"/>
          <w:b/>
          <w:sz w:val="24"/>
          <w:szCs w:val="24"/>
        </w:rPr>
        <w:t>. (Obrazac PR-RAS)</w:t>
      </w:r>
    </w:p>
    <w:p w14:paraId="77528E77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3530516F" w14:textId="6DF9CBA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>Ukupni prihodi i primici (šifra X678) u razdoblju od 01.01. do 31.12.202</w:t>
      </w:r>
      <w:r w:rsidR="00B73CDD">
        <w:rPr>
          <w:rFonts w:eastAsia="Calibri" w:cstheme="minorHAnsi"/>
          <w:bCs/>
          <w:sz w:val="24"/>
          <w:szCs w:val="24"/>
        </w:rPr>
        <w:t>4</w:t>
      </w:r>
      <w:r w:rsidRPr="00B10604">
        <w:rPr>
          <w:rFonts w:eastAsia="Calibri" w:cstheme="minorHAnsi"/>
          <w:bCs/>
          <w:sz w:val="24"/>
          <w:szCs w:val="24"/>
        </w:rPr>
        <w:t xml:space="preserve">. godine ostvareni su u iznosu </w:t>
      </w:r>
      <w:r w:rsidR="001C6432">
        <w:rPr>
          <w:rFonts w:eastAsia="Calibri" w:cstheme="minorHAnsi"/>
          <w:bCs/>
          <w:sz w:val="24"/>
          <w:szCs w:val="24"/>
        </w:rPr>
        <w:t>921.216,37</w:t>
      </w:r>
      <w:r w:rsidR="00A60D1E">
        <w:rPr>
          <w:rFonts w:eastAsia="Calibri" w:cstheme="minorHAnsi"/>
          <w:bCs/>
          <w:sz w:val="24"/>
          <w:szCs w:val="24"/>
        </w:rPr>
        <w:t xml:space="preserve"> eura</w:t>
      </w:r>
      <w:r w:rsidRPr="00B10604">
        <w:rPr>
          <w:rFonts w:eastAsia="Calibri" w:cstheme="minorHAnsi"/>
          <w:bCs/>
          <w:sz w:val="24"/>
          <w:szCs w:val="24"/>
        </w:rPr>
        <w:t xml:space="preserve">, u odnosu na isto izvještajno razdoblje prethodne godine uvećani su za </w:t>
      </w:r>
      <w:r w:rsidR="001C6432">
        <w:rPr>
          <w:rFonts w:eastAsia="Calibri" w:cstheme="minorHAnsi"/>
          <w:bCs/>
          <w:sz w:val="24"/>
          <w:szCs w:val="24"/>
        </w:rPr>
        <w:t>65,50%</w:t>
      </w:r>
    </w:p>
    <w:p w14:paraId="19B0DFE0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318951F8" w14:textId="26283D48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 xml:space="preserve">Ukupni rashodi i izdaci (šifra Y345) u istom razdoblju izvršeni su u iznosu od </w:t>
      </w:r>
      <w:r w:rsidR="00B61F93">
        <w:rPr>
          <w:rFonts w:eastAsia="Calibri" w:cstheme="minorHAnsi"/>
          <w:bCs/>
          <w:sz w:val="24"/>
          <w:szCs w:val="24"/>
        </w:rPr>
        <w:t>864.681,37 eura</w:t>
      </w:r>
      <w:r w:rsidRPr="00B10604">
        <w:rPr>
          <w:rFonts w:eastAsia="Calibri" w:cstheme="minorHAnsi"/>
          <w:bCs/>
          <w:sz w:val="24"/>
          <w:szCs w:val="24"/>
        </w:rPr>
        <w:t xml:space="preserve"> dok su prethodne godine iznosili </w:t>
      </w:r>
      <w:r w:rsidR="00B61F93">
        <w:rPr>
          <w:rFonts w:eastAsia="Calibri" w:cstheme="minorHAnsi"/>
          <w:bCs/>
          <w:sz w:val="24"/>
          <w:szCs w:val="24"/>
        </w:rPr>
        <w:t>577.040,69 eura. Rashodi su uvećani za 49,80</w:t>
      </w:r>
      <w:r w:rsidRPr="00B10604">
        <w:rPr>
          <w:rFonts w:eastAsia="Calibri" w:cstheme="minorHAnsi"/>
          <w:bCs/>
          <w:sz w:val="24"/>
          <w:szCs w:val="24"/>
        </w:rPr>
        <w:t>%.</w:t>
      </w:r>
    </w:p>
    <w:p w14:paraId="7C1A5668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3BEA3E3B" w14:textId="175A1424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 xml:space="preserve">U izvještajnom </w:t>
      </w:r>
      <w:r w:rsidR="00B61F93">
        <w:rPr>
          <w:rFonts w:eastAsia="Calibri" w:cstheme="minorHAnsi"/>
          <w:bCs/>
          <w:sz w:val="24"/>
          <w:szCs w:val="24"/>
        </w:rPr>
        <w:t>razdoblju ostvaren je tekući višak prihoda i primitaka (šifra X</w:t>
      </w:r>
      <w:r w:rsidRPr="00B10604">
        <w:rPr>
          <w:rFonts w:eastAsia="Calibri" w:cstheme="minorHAnsi"/>
          <w:bCs/>
          <w:sz w:val="24"/>
          <w:szCs w:val="24"/>
        </w:rPr>
        <w:t xml:space="preserve">005) u iznosu </w:t>
      </w:r>
      <w:r w:rsidR="00B61F93">
        <w:rPr>
          <w:rFonts w:eastAsia="Calibri" w:cstheme="minorHAnsi"/>
          <w:bCs/>
          <w:sz w:val="24"/>
          <w:szCs w:val="24"/>
        </w:rPr>
        <w:t>56.535,00 eura</w:t>
      </w:r>
      <w:r w:rsidRPr="00B10604">
        <w:rPr>
          <w:rFonts w:eastAsia="Calibri" w:cstheme="minorHAnsi"/>
          <w:bCs/>
          <w:sz w:val="24"/>
          <w:szCs w:val="24"/>
        </w:rPr>
        <w:t xml:space="preserve">. Preneseni manjak iz prethodne godine iznosio je </w:t>
      </w:r>
      <w:r w:rsidR="00B61F93">
        <w:rPr>
          <w:rFonts w:eastAsia="Calibri" w:cstheme="minorHAnsi"/>
          <w:bCs/>
          <w:sz w:val="24"/>
          <w:szCs w:val="24"/>
        </w:rPr>
        <w:t>40.275,04 eura</w:t>
      </w:r>
      <w:r w:rsidRPr="00B10604">
        <w:rPr>
          <w:rFonts w:eastAsia="Calibri" w:cstheme="minorHAnsi"/>
          <w:bCs/>
          <w:sz w:val="24"/>
          <w:szCs w:val="24"/>
        </w:rPr>
        <w:t xml:space="preserve"> (šifra 9222</w:t>
      </w:r>
      <w:r w:rsidR="00B61F93">
        <w:rPr>
          <w:rFonts w:eastAsia="Calibri" w:cstheme="minorHAnsi"/>
          <w:bCs/>
          <w:sz w:val="24"/>
          <w:szCs w:val="24"/>
        </w:rPr>
        <w:t>-9221), što stvara ukupni višak prihoda i primitaka za raspolaganje</w:t>
      </w:r>
      <w:r w:rsidRPr="00B10604">
        <w:rPr>
          <w:rFonts w:eastAsia="Calibri" w:cstheme="minorHAnsi"/>
          <w:bCs/>
          <w:sz w:val="24"/>
          <w:szCs w:val="24"/>
        </w:rPr>
        <w:t xml:space="preserve"> u sljedećem razdoblju</w:t>
      </w:r>
      <w:r w:rsidR="00B61F93">
        <w:rPr>
          <w:rFonts w:eastAsia="Calibri" w:cstheme="minorHAnsi"/>
          <w:bCs/>
          <w:sz w:val="24"/>
          <w:szCs w:val="24"/>
        </w:rPr>
        <w:t xml:space="preserve"> (šifra X</w:t>
      </w:r>
      <w:r w:rsidRPr="00B10604">
        <w:rPr>
          <w:rFonts w:eastAsia="Calibri" w:cstheme="minorHAnsi"/>
          <w:bCs/>
          <w:sz w:val="24"/>
          <w:szCs w:val="24"/>
        </w:rPr>
        <w:t xml:space="preserve">006) u iznosu </w:t>
      </w:r>
      <w:r w:rsidR="00B61F93">
        <w:rPr>
          <w:rFonts w:eastAsia="Calibri" w:cstheme="minorHAnsi"/>
          <w:bCs/>
          <w:sz w:val="24"/>
          <w:szCs w:val="24"/>
        </w:rPr>
        <w:t>16.259,96</w:t>
      </w:r>
      <w:r w:rsidR="00A60D1E">
        <w:rPr>
          <w:rFonts w:eastAsia="Calibri" w:cstheme="minorHAnsi"/>
          <w:bCs/>
          <w:sz w:val="24"/>
          <w:szCs w:val="24"/>
        </w:rPr>
        <w:t xml:space="preserve"> eura.</w:t>
      </w:r>
      <w:r w:rsidRPr="00B10604">
        <w:rPr>
          <w:rFonts w:eastAsia="Calibri" w:cstheme="minorHAnsi"/>
          <w:bCs/>
          <w:sz w:val="24"/>
          <w:szCs w:val="24"/>
        </w:rPr>
        <w:t xml:space="preserve"> </w:t>
      </w:r>
    </w:p>
    <w:p w14:paraId="6850DA31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00CF8164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>Prihodi poslovanja (šifra 6)</w:t>
      </w:r>
    </w:p>
    <w:p w14:paraId="33A388E9" w14:textId="16A7E16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 xml:space="preserve">Prihodi poslovanja ostvareni u izvještajnom razdoblju iznose </w:t>
      </w:r>
      <w:r w:rsidR="00A60D1E">
        <w:rPr>
          <w:rFonts w:eastAsia="Calibri" w:cstheme="minorHAnsi"/>
          <w:bCs/>
          <w:sz w:val="24"/>
          <w:szCs w:val="24"/>
        </w:rPr>
        <w:t>921.216,37 eura</w:t>
      </w:r>
      <w:r w:rsidRPr="00B10604">
        <w:rPr>
          <w:rFonts w:eastAsia="Calibri" w:cstheme="minorHAnsi"/>
          <w:bCs/>
          <w:sz w:val="24"/>
          <w:szCs w:val="24"/>
        </w:rPr>
        <w:t xml:space="preserve">. </w:t>
      </w:r>
      <w:r w:rsidR="0081426E">
        <w:rPr>
          <w:rFonts w:eastAsia="Calibri" w:cstheme="minorHAnsi"/>
          <w:bCs/>
          <w:sz w:val="24"/>
          <w:szCs w:val="24"/>
        </w:rPr>
        <w:t>Uvećanje ukupnih prihoda poslovanja u od</w:t>
      </w:r>
      <w:r w:rsidR="00A60D1E">
        <w:rPr>
          <w:rFonts w:eastAsia="Calibri" w:cstheme="minorHAnsi"/>
          <w:bCs/>
          <w:sz w:val="24"/>
          <w:szCs w:val="24"/>
        </w:rPr>
        <w:t>nosu na prethodno razdoblje je 65</w:t>
      </w:r>
      <w:r w:rsidR="0081426E">
        <w:rPr>
          <w:rFonts w:eastAsia="Calibri" w:cstheme="minorHAnsi"/>
          <w:bCs/>
          <w:sz w:val="24"/>
          <w:szCs w:val="24"/>
        </w:rPr>
        <w:t>,50%.</w:t>
      </w:r>
    </w:p>
    <w:p w14:paraId="23C8133C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>Unutar prihoda poslovanja nastale su sljedeće promjene:</w:t>
      </w:r>
    </w:p>
    <w:p w14:paraId="4D96B9CD" w14:textId="34041326" w:rsidR="001C3748" w:rsidRPr="00B10604" w:rsidRDefault="001C3748" w:rsidP="00E07EA2">
      <w:pPr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 xml:space="preserve">Pomoći iz inozemstva i od subjekata unutar općeg proračuna (šifra 63) ostvarene su u iznosu </w:t>
      </w:r>
      <w:r w:rsidR="00E07EA2">
        <w:rPr>
          <w:rFonts w:eastAsia="Calibri" w:cstheme="minorHAnsi"/>
          <w:bCs/>
          <w:sz w:val="24"/>
          <w:szCs w:val="24"/>
        </w:rPr>
        <w:t>119.042,40 eura</w:t>
      </w:r>
      <w:r w:rsidRPr="00B10604">
        <w:rPr>
          <w:rFonts w:eastAsia="Calibri" w:cstheme="minorHAnsi"/>
          <w:bCs/>
          <w:sz w:val="24"/>
          <w:szCs w:val="24"/>
        </w:rPr>
        <w:t xml:space="preserve">, u odnosu na prethodnu godinu bilježe </w:t>
      </w:r>
      <w:r w:rsidR="00925097">
        <w:rPr>
          <w:rFonts w:eastAsia="Calibri" w:cstheme="minorHAnsi"/>
          <w:bCs/>
          <w:sz w:val="24"/>
          <w:szCs w:val="24"/>
        </w:rPr>
        <w:t xml:space="preserve">najznačajnije uvećanje unutar klase 6, </w:t>
      </w:r>
      <w:r w:rsidRPr="00B10604">
        <w:rPr>
          <w:rFonts w:eastAsia="Calibri" w:cstheme="minorHAnsi"/>
          <w:bCs/>
          <w:sz w:val="24"/>
          <w:szCs w:val="24"/>
        </w:rPr>
        <w:t xml:space="preserve">uvećanje od </w:t>
      </w:r>
      <w:r w:rsidR="00E07EA2">
        <w:rPr>
          <w:rFonts w:eastAsia="Calibri" w:cstheme="minorHAnsi"/>
          <w:bCs/>
          <w:sz w:val="24"/>
          <w:szCs w:val="24"/>
        </w:rPr>
        <w:t>342,3</w:t>
      </w:r>
      <w:r w:rsidR="0081426E">
        <w:rPr>
          <w:rFonts w:eastAsia="Calibri" w:cstheme="minorHAnsi"/>
          <w:bCs/>
          <w:sz w:val="24"/>
          <w:szCs w:val="24"/>
        </w:rPr>
        <w:t>0%</w:t>
      </w:r>
      <w:r w:rsidRPr="00B10604">
        <w:rPr>
          <w:rFonts w:eastAsia="Calibri" w:cstheme="minorHAnsi"/>
          <w:bCs/>
          <w:sz w:val="24"/>
          <w:szCs w:val="24"/>
        </w:rPr>
        <w:t xml:space="preserve">.  </w:t>
      </w:r>
      <w:r w:rsidR="00E07EA2">
        <w:rPr>
          <w:rFonts w:eastAsia="Calibri" w:cstheme="minorHAnsi"/>
          <w:bCs/>
          <w:sz w:val="24"/>
          <w:szCs w:val="24"/>
        </w:rPr>
        <w:t xml:space="preserve">Najvećim dijelom povećanje se odnosi na prihod ostvaren od Pomoći </w:t>
      </w:r>
      <w:r w:rsidR="00E07EA2">
        <w:rPr>
          <w:rFonts w:eastAsia="Calibri" w:cstheme="minorHAnsi"/>
          <w:bCs/>
          <w:sz w:val="24"/>
          <w:szCs w:val="24"/>
        </w:rPr>
        <w:lastRenderedPageBreak/>
        <w:t>međunarodnih organizacija te institucija i tijela EU u</w:t>
      </w:r>
      <w:r w:rsidRPr="00B10604">
        <w:rPr>
          <w:rFonts w:eastAsia="Calibri" w:cstheme="minorHAnsi"/>
          <w:bCs/>
          <w:sz w:val="24"/>
          <w:szCs w:val="24"/>
        </w:rPr>
        <w:t xml:space="preserve"> izvještajnom razdoblju</w:t>
      </w:r>
      <w:r w:rsidR="00E07EA2">
        <w:rPr>
          <w:rFonts w:eastAsia="Calibri" w:cstheme="minorHAnsi"/>
          <w:bCs/>
          <w:sz w:val="24"/>
          <w:szCs w:val="24"/>
        </w:rPr>
        <w:t xml:space="preserve"> koji iznosi 73.154,80 eura (šifra 6323). U</w:t>
      </w:r>
      <w:r w:rsidRPr="00B10604">
        <w:rPr>
          <w:rFonts w:eastAsia="Calibri" w:cstheme="minorHAnsi"/>
          <w:bCs/>
          <w:sz w:val="24"/>
          <w:szCs w:val="24"/>
        </w:rPr>
        <w:t>stanova je za svoje programske aktivnosti ostvarila</w:t>
      </w:r>
      <w:r w:rsidR="00E07EA2">
        <w:rPr>
          <w:rFonts w:eastAsia="Calibri" w:cstheme="minorHAnsi"/>
          <w:bCs/>
          <w:sz w:val="24"/>
          <w:szCs w:val="24"/>
        </w:rPr>
        <w:t xml:space="preserve"> ukupno</w:t>
      </w:r>
      <w:r w:rsidRPr="00B10604">
        <w:rPr>
          <w:rFonts w:eastAsia="Calibri" w:cstheme="minorHAnsi"/>
          <w:bCs/>
          <w:sz w:val="24"/>
          <w:szCs w:val="24"/>
        </w:rPr>
        <w:t xml:space="preserve"> </w:t>
      </w:r>
      <w:r w:rsidR="00E07EA2">
        <w:rPr>
          <w:rFonts w:eastAsia="Calibri" w:cstheme="minorHAnsi"/>
          <w:bCs/>
          <w:sz w:val="24"/>
          <w:szCs w:val="24"/>
        </w:rPr>
        <w:t>45.887,60 eura po osnovi prihoda</w:t>
      </w:r>
      <w:r w:rsidR="0026607F">
        <w:rPr>
          <w:rFonts w:eastAsia="Calibri" w:cstheme="minorHAnsi"/>
          <w:bCs/>
          <w:sz w:val="24"/>
          <w:szCs w:val="24"/>
        </w:rPr>
        <w:t xml:space="preserve"> od </w:t>
      </w:r>
      <w:r w:rsidR="00E07EA2" w:rsidRPr="00E07EA2">
        <w:rPr>
          <w:rFonts w:eastAsia="Calibri" w:cstheme="minorHAnsi"/>
          <w:bCs/>
          <w:sz w:val="24"/>
          <w:szCs w:val="24"/>
        </w:rPr>
        <w:t>Tekuće pomoći proračunskim korisnicima iz proračuna koji im nije nadležan</w:t>
      </w:r>
      <w:r w:rsidR="00925097">
        <w:rPr>
          <w:rFonts w:eastAsia="Calibri" w:cstheme="minorHAnsi"/>
          <w:bCs/>
          <w:sz w:val="24"/>
          <w:szCs w:val="24"/>
        </w:rPr>
        <w:t xml:space="preserve"> (šifra 6361)</w:t>
      </w:r>
      <w:r w:rsidR="00E07EA2">
        <w:rPr>
          <w:rFonts w:eastAsia="Calibri" w:cstheme="minorHAnsi"/>
          <w:bCs/>
          <w:sz w:val="24"/>
          <w:szCs w:val="24"/>
        </w:rPr>
        <w:t>, i to 41.287,60 eura od</w:t>
      </w:r>
      <w:r w:rsidRPr="00B10604">
        <w:rPr>
          <w:rFonts w:eastAsia="Calibri" w:cstheme="minorHAnsi"/>
          <w:bCs/>
          <w:sz w:val="24"/>
          <w:szCs w:val="24"/>
        </w:rPr>
        <w:t xml:space="preserve"> Ministarstva kulture Repu</w:t>
      </w:r>
      <w:r w:rsidR="00925097">
        <w:rPr>
          <w:rFonts w:eastAsia="Calibri" w:cstheme="minorHAnsi"/>
          <w:bCs/>
          <w:sz w:val="24"/>
          <w:szCs w:val="24"/>
        </w:rPr>
        <w:t>blike Hrvatske te 4.600,00 eura</w:t>
      </w:r>
      <w:r w:rsidR="0026607F">
        <w:rPr>
          <w:rFonts w:eastAsia="Calibri" w:cstheme="minorHAnsi"/>
          <w:bCs/>
          <w:sz w:val="24"/>
          <w:szCs w:val="24"/>
        </w:rPr>
        <w:t xml:space="preserve"> od Primorsko-Goranske Županije.</w:t>
      </w:r>
    </w:p>
    <w:p w14:paraId="2A62DD3B" w14:textId="180352E8" w:rsidR="001C3748" w:rsidRPr="00B10604" w:rsidRDefault="00925097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Ostvareno je 33.798,76 eura</w:t>
      </w:r>
      <w:r w:rsidR="001C3748" w:rsidRPr="00B10604">
        <w:rPr>
          <w:rFonts w:eastAsia="Calibri" w:cstheme="minorHAnsi"/>
          <w:bCs/>
          <w:sz w:val="24"/>
          <w:szCs w:val="24"/>
        </w:rPr>
        <w:t xml:space="preserve"> </w:t>
      </w:r>
      <w:r w:rsidR="0026607F">
        <w:rPr>
          <w:rFonts w:eastAsia="Calibri" w:cstheme="minorHAnsi"/>
          <w:bCs/>
          <w:sz w:val="24"/>
          <w:szCs w:val="24"/>
        </w:rPr>
        <w:t>prihoda</w:t>
      </w:r>
      <w:r w:rsidR="001C3748" w:rsidRPr="00B10604">
        <w:rPr>
          <w:rFonts w:eastAsia="Calibri" w:cstheme="minorHAnsi"/>
          <w:bCs/>
          <w:sz w:val="24"/>
          <w:szCs w:val="24"/>
        </w:rPr>
        <w:t xml:space="preserve"> od upravnih i administrativnih pristojbi, pristojbi</w:t>
      </w:r>
      <w:r w:rsidR="0026607F">
        <w:rPr>
          <w:rFonts w:eastAsia="Calibri" w:cstheme="minorHAnsi"/>
          <w:bCs/>
          <w:sz w:val="24"/>
          <w:szCs w:val="24"/>
        </w:rPr>
        <w:t xml:space="preserve"> po posebnim propisima i naknada</w:t>
      </w:r>
      <w:r w:rsidR="00E145A0">
        <w:rPr>
          <w:rFonts w:eastAsia="Calibri" w:cstheme="minorHAnsi"/>
          <w:bCs/>
          <w:sz w:val="24"/>
          <w:szCs w:val="24"/>
        </w:rPr>
        <w:t xml:space="preserve"> (šifra 65) što je odnosu na</w:t>
      </w:r>
      <w:r>
        <w:rPr>
          <w:rFonts w:eastAsia="Calibri" w:cstheme="minorHAnsi"/>
          <w:bCs/>
          <w:sz w:val="24"/>
          <w:szCs w:val="24"/>
        </w:rPr>
        <w:t xml:space="preserve"> prethodnu godinu više za 15,00</w:t>
      </w:r>
      <w:r w:rsidR="00E145A0">
        <w:rPr>
          <w:rFonts w:eastAsia="Calibri" w:cstheme="minorHAnsi"/>
          <w:bCs/>
          <w:sz w:val="24"/>
          <w:szCs w:val="24"/>
        </w:rPr>
        <w:t>%.</w:t>
      </w:r>
    </w:p>
    <w:p w14:paraId="2DCDE3DF" w14:textId="69D395E3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 xml:space="preserve">Prihodi od prodaje proizvoda i robe te pruženih usluga, prihodi od donacija te povrati po protestnim jamstvima (šifra 66) uvećani su za </w:t>
      </w:r>
      <w:r w:rsidR="00925097">
        <w:rPr>
          <w:rFonts w:eastAsia="Calibri" w:cstheme="minorHAnsi"/>
          <w:bCs/>
          <w:sz w:val="24"/>
          <w:szCs w:val="24"/>
        </w:rPr>
        <w:t>29,30</w:t>
      </w:r>
      <w:r w:rsidRPr="00B10604">
        <w:rPr>
          <w:rFonts w:eastAsia="Calibri" w:cstheme="minorHAnsi"/>
          <w:bCs/>
          <w:sz w:val="24"/>
          <w:szCs w:val="24"/>
        </w:rPr>
        <w:t>%</w:t>
      </w:r>
      <w:r w:rsidR="00F63F5F">
        <w:rPr>
          <w:rFonts w:eastAsia="Calibri" w:cstheme="minorHAnsi"/>
          <w:bCs/>
          <w:sz w:val="24"/>
          <w:szCs w:val="24"/>
        </w:rPr>
        <w:t xml:space="preserve"> i iznose 72.319,94 eura</w:t>
      </w:r>
      <w:r w:rsidR="00E145A0">
        <w:rPr>
          <w:rFonts w:eastAsia="Calibri" w:cstheme="minorHAnsi"/>
          <w:bCs/>
          <w:sz w:val="24"/>
          <w:szCs w:val="24"/>
        </w:rPr>
        <w:t>.</w:t>
      </w:r>
      <w:r w:rsidRPr="00B10604">
        <w:rPr>
          <w:rFonts w:eastAsia="Calibri" w:cstheme="minorHAnsi"/>
          <w:bCs/>
          <w:sz w:val="24"/>
          <w:szCs w:val="24"/>
        </w:rPr>
        <w:t xml:space="preserve"> Razlog  je u povećanju prihoda od pruženih usluga (šifra 6615) koje je ustanova ostvarila pružanjem usluge p</w:t>
      </w:r>
      <w:r w:rsidR="00925097">
        <w:rPr>
          <w:rFonts w:eastAsia="Calibri" w:cstheme="minorHAnsi"/>
          <w:bCs/>
          <w:sz w:val="24"/>
          <w:szCs w:val="24"/>
        </w:rPr>
        <w:t>rivremenog korištenja prostora te prihoda od donacija (šifra 6631)</w:t>
      </w:r>
    </w:p>
    <w:p w14:paraId="4EABA7C5" w14:textId="690F69DF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>Prihodi iz na</w:t>
      </w:r>
      <w:r w:rsidR="00F83F3E">
        <w:rPr>
          <w:rFonts w:eastAsia="Calibri" w:cstheme="minorHAnsi"/>
          <w:bCs/>
          <w:sz w:val="24"/>
          <w:szCs w:val="24"/>
        </w:rPr>
        <w:t>dle</w:t>
      </w:r>
      <w:r w:rsidRPr="00B10604">
        <w:rPr>
          <w:rFonts w:eastAsia="Calibri" w:cstheme="minorHAnsi"/>
          <w:bCs/>
          <w:sz w:val="24"/>
          <w:szCs w:val="24"/>
        </w:rPr>
        <w:t xml:space="preserve">žnog proračuna (šifra 67) </w:t>
      </w:r>
      <w:r w:rsidR="00925097">
        <w:rPr>
          <w:rFonts w:eastAsia="Calibri" w:cstheme="minorHAnsi"/>
          <w:bCs/>
          <w:sz w:val="24"/>
          <w:szCs w:val="24"/>
        </w:rPr>
        <w:t>bilježe porast od 56,70%</w:t>
      </w:r>
      <w:r w:rsidR="00902EEC">
        <w:rPr>
          <w:rFonts w:eastAsia="Calibri" w:cstheme="minorHAnsi"/>
          <w:bCs/>
          <w:sz w:val="24"/>
          <w:szCs w:val="24"/>
        </w:rPr>
        <w:t xml:space="preserve"> u usporedbi s prethodnim </w:t>
      </w:r>
      <w:r w:rsidR="00925097">
        <w:rPr>
          <w:rFonts w:eastAsia="Calibri" w:cstheme="minorHAnsi"/>
          <w:bCs/>
          <w:sz w:val="24"/>
          <w:szCs w:val="24"/>
        </w:rPr>
        <w:t xml:space="preserve"> </w:t>
      </w:r>
      <w:r w:rsidR="00E145A0">
        <w:rPr>
          <w:rFonts w:eastAsia="Calibri" w:cstheme="minorHAnsi"/>
          <w:bCs/>
          <w:sz w:val="24"/>
          <w:szCs w:val="24"/>
        </w:rPr>
        <w:t>razdobljem</w:t>
      </w:r>
      <w:r w:rsidR="006A4375">
        <w:rPr>
          <w:rFonts w:eastAsia="Calibri" w:cstheme="minorHAnsi"/>
          <w:bCs/>
          <w:sz w:val="24"/>
          <w:szCs w:val="24"/>
        </w:rPr>
        <w:t xml:space="preserve"> i</w:t>
      </w:r>
      <w:r w:rsidRPr="00B10604">
        <w:rPr>
          <w:rFonts w:eastAsia="Calibri" w:cstheme="minorHAnsi"/>
          <w:bCs/>
          <w:sz w:val="24"/>
          <w:szCs w:val="24"/>
        </w:rPr>
        <w:t xml:space="preserve"> </w:t>
      </w:r>
      <w:r w:rsidR="006A4375">
        <w:rPr>
          <w:rFonts w:eastAsia="Calibri" w:cstheme="minorHAnsi"/>
          <w:bCs/>
          <w:sz w:val="24"/>
          <w:szCs w:val="24"/>
        </w:rPr>
        <w:t>iznose</w:t>
      </w:r>
      <w:r w:rsidRPr="00B10604">
        <w:rPr>
          <w:rFonts w:eastAsia="Calibri" w:cstheme="minorHAnsi"/>
          <w:bCs/>
          <w:sz w:val="24"/>
          <w:szCs w:val="24"/>
        </w:rPr>
        <w:t xml:space="preserve"> </w:t>
      </w:r>
      <w:r w:rsidR="00902EEC">
        <w:rPr>
          <w:rFonts w:eastAsia="Calibri" w:cstheme="minorHAnsi"/>
          <w:bCs/>
          <w:sz w:val="24"/>
          <w:szCs w:val="24"/>
        </w:rPr>
        <w:t>572.543,13 eura</w:t>
      </w:r>
      <w:r w:rsidRPr="00B10604">
        <w:rPr>
          <w:rFonts w:eastAsia="Calibri" w:cstheme="minorHAnsi"/>
          <w:bCs/>
          <w:sz w:val="24"/>
          <w:szCs w:val="24"/>
        </w:rPr>
        <w:t xml:space="preserve"> za prihode  iz nadležnog proračuna za financiranje rashoda poslovanja</w:t>
      </w:r>
      <w:r w:rsidR="006A4375">
        <w:rPr>
          <w:rFonts w:eastAsia="Calibri" w:cstheme="minorHAnsi"/>
          <w:bCs/>
          <w:sz w:val="24"/>
          <w:szCs w:val="24"/>
        </w:rPr>
        <w:t xml:space="preserve"> (šifra 6711)</w:t>
      </w:r>
      <w:r w:rsidRPr="00B10604">
        <w:rPr>
          <w:rFonts w:eastAsia="Calibri" w:cstheme="minorHAnsi"/>
          <w:bCs/>
          <w:sz w:val="24"/>
          <w:szCs w:val="24"/>
        </w:rPr>
        <w:t xml:space="preserve">  </w:t>
      </w:r>
      <w:r w:rsidR="00902EEC">
        <w:rPr>
          <w:rFonts w:eastAsia="Calibri" w:cstheme="minorHAnsi"/>
          <w:bCs/>
          <w:sz w:val="24"/>
          <w:szCs w:val="24"/>
        </w:rPr>
        <w:t>te 123.512,11 eura</w:t>
      </w:r>
      <w:r w:rsidRPr="00B10604">
        <w:rPr>
          <w:rFonts w:eastAsia="Calibri" w:cstheme="minorHAnsi"/>
          <w:bCs/>
          <w:sz w:val="24"/>
          <w:szCs w:val="24"/>
        </w:rPr>
        <w:t xml:space="preserve"> za prihode nadležnog proračuna kojim se financiraju rashodi za nabavu  nefinancijske imovine ( šifra 6712). </w:t>
      </w:r>
    </w:p>
    <w:p w14:paraId="5F1C4D79" w14:textId="3578AD15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5BD50D4C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>Rashodi poslovanja (šifra 3)</w:t>
      </w:r>
    </w:p>
    <w:p w14:paraId="176BFD7F" w14:textId="1712B6B4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>Rashod</w:t>
      </w:r>
      <w:r w:rsidR="00142D8A">
        <w:rPr>
          <w:rFonts w:eastAsia="Calibri" w:cstheme="minorHAnsi"/>
          <w:bCs/>
          <w:sz w:val="24"/>
          <w:szCs w:val="24"/>
        </w:rPr>
        <w:t>i</w:t>
      </w:r>
      <w:r w:rsidRPr="00B10604">
        <w:rPr>
          <w:rFonts w:eastAsia="Calibri" w:cstheme="minorHAnsi"/>
          <w:bCs/>
          <w:sz w:val="24"/>
          <w:szCs w:val="24"/>
        </w:rPr>
        <w:t xml:space="preserve"> poslovanja ostvareni su u iznosu </w:t>
      </w:r>
      <w:r w:rsidR="00142D8A">
        <w:rPr>
          <w:rFonts w:eastAsia="Calibri" w:cstheme="minorHAnsi"/>
          <w:bCs/>
          <w:sz w:val="24"/>
          <w:szCs w:val="24"/>
        </w:rPr>
        <w:t xml:space="preserve">od </w:t>
      </w:r>
      <w:r w:rsidR="00F63F5F">
        <w:rPr>
          <w:rFonts w:eastAsia="Calibri" w:cstheme="minorHAnsi"/>
          <w:bCs/>
          <w:sz w:val="24"/>
          <w:szCs w:val="24"/>
        </w:rPr>
        <w:t>744.636,07 eura</w:t>
      </w:r>
      <w:r w:rsidRPr="00B10604">
        <w:rPr>
          <w:rFonts w:eastAsia="Calibri" w:cstheme="minorHAnsi"/>
          <w:bCs/>
          <w:sz w:val="24"/>
          <w:szCs w:val="24"/>
        </w:rPr>
        <w:t xml:space="preserve">, bilježi se rast u odnosu na prethodno razdoblje </w:t>
      </w:r>
      <w:r w:rsidR="00F63F5F">
        <w:rPr>
          <w:rFonts w:eastAsia="Calibri" w:cstheme="minorHAnsi"/>
          <w:bCs/>
          <w:sz w:val="24"/>
          <w:szCs w:val="24"/>
        </w:rPr>
        <w:t>od 31,00</w:t>
      </w:r>
      <w:r w:rsidR="00142D8A">
        <w:rPr>
          <w:rFonts w:eastAsia="Calibri" w:cstheme="minorHAnsi"/>
          <w:bCs/>
          <w:sz w:val="24"/>
          <w:szCs w:val="24"/>
        </w:rPr>
        <w:t>%.</w:t>
      </w:r>
    </w:p>
    <w:p w14:paraId="24E89F4B" w14:textId="0A353C1A" w:rsidR="001C3748" w:rsidRPr="00B10604" w:rsidRDefault="00F63F5F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Rashodi za zaposlene</w:t>
      </w:r>
      <w:r w:rsidR="00AB19B7">
        <w:rPr>
          <w:rFonts w:eastAsia="Calibri" w:cstheme="minorHAnsi"/>
          <w:bCs/>
          <w:sz w:val="24"/>
          <w:szCs w:val="24"/>
        </w:rPr>
        <w:t xml:space="preserve"> (šifra</w:t>
      </w:r>
      <w:r>
        <w:rPr>
          <w:rFonts w:eastAsia="Calibri" w:cstheme="minorHAnsi"/>
          <w:bCs/>
          <w:sz w:val="24"/>
          <w:szCs w:val="24"/>
        </w:rPr>
        <w:t xml:space="preserve"> 31</w:t>
      </w:r>
      <w:r w:rsidR="00057CCF">
        <w:rPr>
          <w:rFonts w:eastAsia="Calibri" w:cstheme="minorHAnsi"/>
          <w:bCs/>
          <w:sz w:val="24"/>
          <w:szCs w:val="24"/>
        </w:rPr>
        <w:t xml:space="preserve">) čine najveći dio rashoda poslovanja i iznose </w:t>
      </w:r>
      <w:r>
        <w:rPr>
          <w:rFonts w:eastAsia="Calibri" w:cstheme="minorHAnsi"/>
          <w:bCs/>
          <w:sz w:val="24"/>
          <w:szCs w:val="24"/>
        </w:rPr>
        <w:t>381.075,08 eura te rast od 30,50% u odnosu na prethodno razdoblje prvenstveno zbog povećanja osnovica plaće odlukama osnivača - Grada Rijeke.</w:t>
      </w:r>
    </w:p>
    <w:p w14:paraId="0B33D5E5" w14:textId="43A0A3D7" w:rsidR="001C3748" w:rsidRPr="00B10604" w:rsidRDefault="00EF2A3C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eastAsia="Calibri" w:cstheme="minorHAnsi"/>
          <w:bCs/>
          <w:sz w:val="24"/>
          <w:szCs w:val="24"/>
        </w:rPr>
        <w:t>Materijalni rashodi (šifra 32) rasli su za 31,5% i iznose 363.367,74 eura</w:t>
      </w:r>
      <w:r w:rsidR="001C3748" w:rsidRPr="00B10604">
        <w:rPr>
          <w:rFonts w:eastAsia="Calibri" w:cstheme="minorHAnsi"/>
          <w:bCs/>
          <w:sz w:val="24"/>
          <w:szCs w:val="24"/>
        </w:rPr>
        <w:t xml:space="preserve"> </w:t>
      </w:r>
      <w:r w:rsidR="00057CCF">
        <w:rPr>
          <w:rFonts w:eastAsia="Calibri" w:cstheme="minorHAnsi"/>
          <w:bCs/>
          <w:sz w:val="24"/>
          <w:szCs w:val="24"/>
        </w:rPr>
        <w:t>R</w:t>
      </w:r>
      <w:r w:rsidR="001C3748" w:rsidRPr="00B10604">
        <w:rPr>
          <w:rFonts w:eastAsia="Calibri" w:cstheme="minorHAnsi"/>
          <w:bCs/>
          <w:sz w:val="24"/>
          <w:szCs w:val="24"/>
        </w:rPr>
        <w:t xml:space="preserve">ashodi za intelektualne i osobne usluge (šifra 3237) </w:t>
      </w:r>
      <w:r>
        <w:rPr>
          <w:rFonts w:eastAsia="Calibri" w:cstheme="minorHAnsi"/>
          <w:bCs/>
          <w:sz w:val="24"/>
          <w:szCs w:val="24"/>
        </w:rPr>
        <w:t>čine najveći dio materijalnih rashoda i bilježe porast od 67,70%, a njihov rast opravdava partnerstvo u europskom projektu s početkom u 2024. godini po kojem su se usluge ostvarivale za izvođenje programa plesnih predstava te održavanje ostalih scenskih i glazbenih programa, festivala i koncerata.</w:t>
      </w:r>
    </w:p>
    <w:p w14:paraId="5EA156E8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6E8FDC45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>Prihodi i rashodi od nefinancijske imovine</w:t>
      </w:r>
    </w:p>
    <w:p w14:paraId="200222AD" w14:textId="7BD238E6" w:rsidR="001C3748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 xml:space="preserve">Ustanova u izvještajnom razdoblju nije ostvarila prihode od prodaje nefinancijske imovine (šifra 7), dok rashodi za nabavu nefinancijske imovine iznose </w:t>
      </w:r>
      <w:r w:rsidR="002E7DAE">
        <w:rPr>
          <w:rFonts w:eastAsia="Calibri" w:cstheme="minorHAnsi"/>
          <w:bCs/>
          <w:sz w:val="24"/>
          <w:szCs w:val="24"/>
        </w:rPr>
        <w:t>120.045,30</w:t>
      </w:r>
      <w:r w:rsidR="00054A41" w:rsidRPr="00054A41">
        <w:rPr>
          <w:rFonts w:eastAsia="Calibri" w:cstheme="minorHAnsi"/>
          <w:bCs/>
          <w:sz w:val="24"/>
          <w:szCs w:val="24"/>
        </w:rPr>
        <w:t xml:space="preserve"> </w:t>
      </w:r>
      <w:r w:rsidR="002E7DAE">
        <w:rPr>
          <w:rFonts w:eastAsia="Calibri" w:cstheme="minorHAnsi"/>
          <w:bCs/>
          <w:sz w:val="24"/>
          <w:szCs w:val="24"/>
        </w:rPr>
        <w:t xml:space="preserve">eura </w:t>
      </w:r>
      <w:r w:rsidRPr="00B10604">
        <w:rPr>
          <w:rFonts w:eastAsia="Calibri" w:cstheme="minorHAnsi"/>
          <w:bCs/>
          <w:sz w:val="24"/>
          <w:szCs w:val="24"/>
        </w:rPr>
        <w:t>(šifra 4) i u</w:t>
      </w:r>
      <w:r w:rsidR="00054A41">
        <w:rPr>
          <w:rFonts w:eastAsia="Calibri" w:cstheme="minorHAnsi"/>
          <w:bCs/>
          <w:sz w:val="24"/>
          <w:szCs w:val="24"/>
        </w:rPr>
        <w:t>veća</w:t>
      </w:r>
      <w:r w:rsidRPr="00B10604">
        <w:rPr>
          <w:rFonts w:eastAsia="Calibri" w:cstheme="minorHAnsi"/>
          <w:bCs/>
          <w:sz w:val="24"/>
          <w:szCs w:val="24"/>
        </w:rPr>
        <w:t xml:space="preserve">ni su u odnosu na prethodnu godinu za </w:t>
      </w:r>
      <w:r w:rsidR="002E7DAE">
        <w:rPr>
          <w:rFonts w:eastAsia="Calibri" w:cstheme="minorHAnsi"/>
          <w:bCs/>
          <w:sz w:val="24"/>
          <w:szCs w:val="24"/>
        </w:rPr>
        <w:t>111.328,51 eura</w:t>
      </w:r>
      <w:r w:rsidRPr="00B10604">
        <w:rPr>
          <w:rFonts w:eastAsia="Calibri" w:cstheme="minorHAnsi"/>
          <w:bCs/>
          <w:sz w:val="24"/>
          <w:szCs w:val="24"/>
        </w:rPr>
        <w:t xml:space="preserve">. </w:t>
      </w:r>
      <w:r w:rsidR="002E7DAE">
        <w:rPr>
          <w:rFonts w:eastAsia="Calibri" w:cstheme="minorHAnsi"/>
          <w:bCs/>
          <w:sz w:val="24"/>
          <w:szCs w:val="24"/>
        </w:rPr>
        <w:t>Značajno uvećanje predstavlja nabavka</w:t>
      </w:r>
    </w:p>
    <w:p w14:paraId="4ADDBEE6" w14:textId="01E22CDF" w:rsidR="002E7DAE" w:rsidRPr="00B10604" w:rsidRDefault="002E7DAE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dimmera za kontrolu svjetla u dvorani, čija nabavna vrijednost iznosi 97.500,68 eura. U 2024. godini nabavljena su i 2 projektora, MP3 + slušalice, stroj za dim, protupožarni ormarić i pisač.</w:t>
      </w:r>
    </w:p>
    <w:p w14:paraId="0CF91800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4B1A609C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 xml:space="preserve">Primici i izdaci </w:t>
      </w:r>
    </w:p>
    <w:p w14:paraId="4DF92BBE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>U izvještajnom razdoblju, jednako kao i u prethodnoj godini ustanova nije ostvarila primitke (šifra 8) niti izdatke (šifra 5).</w:t>
      </w:r>
    </w:p>
    <w:p w14:paraId="6B100784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60FD3795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6D4A26DE" w14:textId="055D371E" w:rsidR="001C3748" w:rsidRPr="00B10604" w:rsidRDefault="001C3748" w:rsidP="001C374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cstheme="minorHAnsi"/>
          <w:b/>
          <w:bCs/>
          <w:sz w:val="24"/>
          <w:szCs w:val="24"/>
        </w:rPr>
        <w:lastRenderedPageBreak/>
        <w:t>BILJEŠKE UZ IZVJEŠTAJ O RASHODIMA PREMA FUNKCIJSKOJ KLASIFIKACIJI (Obrazac</w:t>
      </w:r>
      <w:r w:rsidRPr="00B10604">
        <w:rPr>
          <w:rFonts w:cstheme="minorHAnsi"/>
          <w:sz w:val="24"/>
          <w:szCs w:val="24"/>
        </w:rPr>
        <w:t xml:space="preserve"> </w:t>
      </w:r>
      <w:r w:rsidR="00176E01">
        <w:rPr>
          <w:rFonts w:cstheme="minorHAnsi"/>
          <w:b/>
          <w:bCs/>
          <w:sz w:val="24"/>
          <w:szCs w:val="24"/>
        </w:rPr>
        <w:t>RAS-funk</w:t>
      </w:r>
      <w:r w:rsidRPr="00B10604">
        <w:rPr>
          <w:rFonts w:cstheme="minorHAnsi"/>
          <w:b/>
          <w:bCs/>
          <w:sz w:val="24"/>
          <w:szCs w:val="24"/>
        </w:rPr>
        <w:t>cijski)</w:t>
      </w:r>
    </w:p>
    <w:p w14:paraId="50C20763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3EA23ACE" w14:textId="75F89C68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>Ustanova pripada službi kulture (šifra 082)</w:t>
      </w:r>
      <w:r w:rsidR="00E9781A">
        <w:rPr>
          <w:rFonts w:eastAsia="Calibri" w:cstheme="minorHAnsi"/>
          <w:bCs/>
          <w:sz w:val="24"/>
          <w:szCs w:val="24"/>
        </w:rPr>
        <w:t xml:space="preserve"> i u izvještajnom razdoblju ost</w:t>
      </w:r>
      <w:r w:rsidRPr="00B10604">
        <w:rPr>
          <w:rFonts w:eastAsia="Calibri" w:cstheme="minorHAnsi"/>
          <w:bCs/>
          <w:sz w:val="24"/>
          <w:szCs w:val="24"/>
        </w:rPr>
        <w:t xml:space="preserve">varuje ukupne rashode u iznosu </w:t>
      </w:r>
      <w:r w:rsidR="004756FB">
        <w:rPr>
          <w:rFonts w:eastAsia="Calibri" w:cstheme="minorHAnsi"/>
          <w:bCs/>
          <w:sz w:val="24"/>
          <w:szCs w:val="24"/>
        </w:rPr>
        <w:t>864.681,37 eura</w:t>
      </w:r>
      <w:r w:rsidR="00E9781A">
        <w:rPr>
          <w:rFonts w:eastAsia="Calibri" w:cstheme="minorHAnsi"/>
          <w:bCs/>
          <w:sz w:val="24"/>
          <w:szCs w:val="24"/>
        </w:rPr>
        <w:t xml:space="preserve"> koje čine rashodi</w:t>
      </w:r>
      <w:r w:rsidRPr="00B10604">
        <w:rPr>
          <w:rFonts w:eastAsia="Calibri" w:cstheme="minorHAnsi"/>
          <w:bCs/>
          <w:sz w:val="24"/>
          <w:szCs w:val="24"/>
        </w:rPr>
        <w:t xml:space="preserve"> poslovanja u iznosu </w:t>
      </w:r>
      <w:r w:rsidR="004756FB">
        <w:rPr>
          <w:rFonts w:eastAsia="Calibri" w:cstheme="minorHAnsi"/>
          <w:bCs/>
          <w:sz w:val="24"/>
          <w:szCs w:val="24"/>
        </w:rPr>
        <w:t>744.636,07 eura</w:t>
      </w:r>
      <w:r w:rsidR="00E9781A">
        <w:rPr>
          <w:rFonts w:eastAsia="Calibri" w:cstheme="minorHAnsi"/>
          <w:bCs/>
          <w:sz w:val="24"/>
          <w:szCs w:val="24"/>
        </w:rPr>
        <w:t xml:space="preserve"> i rashodi</w:t>
      </w:r>
      <w:r w:rsidRPr="00B10604">
        <w:rPr>
          <w:rFonts w:eastAsia="Calibri" w:cstheme="minorHAnsi"/>
          <w:bCs/>
          <w:sz w:val="24"/>
          <w:szCs w:val="24"/>
        </w:rPr>
        <w:t xml:space="preserve"> za nabavu nefinancijske imovine u iznosu </w:t>
      </w:r>
      <w:r w:rsidR="004756FB">
        <w:rPr>
          <w:rFonts w:eastAsia="Calibri" w:cstheme="minorHAnsi"/>
          <w:bCs/>
          <w:sz w:val="24"/>
          <w:szCs w:val="24"/>
        </w:rPr>
        <w:t>120.045,30 eura</w:t>
      </w:r>
      <w:r w:rsidRPr="00B10604">
        <w:rPr>
          <w:rFonts w:eastAsia="Calibri" w:cstheme="minorHAnsi"/>
          <w:bCs/>
          <w:sz w:val="24"/>
          <w:szCs w:val="24"/>
        </w:rPr>
        <w:t xml:space="preserve">. </w:t>
      </w:r>
      <w:r w:rsidR="00E9781A">
        <w:rPr>
          <w:rFonts w:eastAsia="Calibri" w:cstheme="minorHAnsi"/>
          <w:bCs/>
          <w:sz w:val="24"/>
          <w:szCs w:val="24"/>
        </w:rPr>
        <w:t xml:space="preserve"> U odnosu na prethodno razdo</w:t>
      </w:r>
      <w:r w:rsidR="004756FB">
        <w:rPr>
          <w:rFonts w:eastAsia="Calibri" w:cstheme="minorHAnsi"/>
          <w:bCs/>
          <w:sz w:val="24"/>
          <w:szCs w:val="24"/>
        </w:rPr>
        <w:t>blje bilježi se uvećanje od 49,80</w:t>
      </w:r>
      <w:r w:rsidR="00E9781A">
        <w:rPr>
          <w:rFonts w:eastAsia="Calibri" w:cstheme="minorHAnsi"/>
          <w:bCs/>
          <w:sz w:val="24"/>
          <w:szCs w:val="24"/>
        </w:rPr>
        <w:t>%.</w:t>
      </w:r>
    </w:p>
    <w:p w14:paraId="70B6C281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2E50CE9E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</w:p>
    <w:p w14:paraId="6D1351B2" w14:textId="77777777" w:rsidR="001C3748" w:rsidRPr="00B10604" w:rsidRDefault="001C3748" w:rsidP="001C3748">
      <w:pPr>
        <w:pStyle w:val="ListParagraph"/>
        <w:numPr>
          <w:ilvl w:val="0"/>
          <w:numId w:val="1"/>
        </w:numPr>
        <w:spacing w:line="276" w:lineRule="auto"/>
        <w:rPr>
          <w:rFonts w:cstheme="minorHAnsi"/>
          <w:b/>
          <w:bCs/>
          <w:sz w:val="24"/>
          <w:szCs w:val="24"/>
        </w:rPr>
      </w:pPr>
      <w:r w:rsidRPr="00B10604">
        <w:rPr>
          <w:rFonts w:cstheme="minorHAnsi"/>
          <w:b/>
          <w:bCs/>
          <w:sz w:val="24"/>
          <w:szCs w:val="24"/>
        </w:rPr>
        <w:t>BILJEŠKE UZ IZVJEŠTAJ O PROMJENAMA U VRIJEDNOSTI I OBUJMU IMOVINE I OBVEZA (Obrazac P-VRIO)</w:t>
      </w:r>
    </w:p>
    <w:p w14:paraId="193212C0" w14:textId="1C5E4CE9" w:rsidR="001C3748" w:rsidRDefault="003E7F8F" w:rsidP="001C3748">
      <w:pPr>
        <w:spacing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Ustanova </w:t>
      </w:r>
      <w:r w:rsidR="004756FB">
        <w:rPr>
          <w:rFonts w:cstheme="minorHAnsi"/>
          <w:sz w:val="24"/>
          <w:szCs w:val="24"/>
        </w:rPr>
        <w:t xml:space="preserve">u 2024. godini ne </w:t>
      </w:r>
      <w:r>
        <w:rPr>
          <w:rFonts w:cstheme="minorHAnsi"/>
          <w:sz w:val="24"/>
          <w:szCs w:val="24"/>
        </w:rPr>
        <w:t>bilježi promjene</w:t>
      </w:r>
      <w:r w:rsidR="004756FB">
        <w:rPr>
          <w:rFonts w:cstheme="minorHAnsi"/>
          <w:sz w:val="24"/>
          <w:szCs w:val="24"/>
        </w:rPr>
        <w:t xml:space="preserve"> u vrijednosti i obujmu imovine.</w:t>
      </w:r>
    </w:p>
    <w:p w14:paraId="3106179C" w14:textId="77777777" w:rsidR="001C3748" w:rsidRPr="00B10604" w:rsidRDefault="001C3748" w:rsidP="001C3748">
      <w:pPr>
        <w:spacing w:line="276" w:lineRule="auto"/>
        <w:rPr>
          <w:rFonts w:cstheme="minorHAnsi"/>
          <w:sz w:val="24"/>
          <w:szCs w:val="24"/>
        </w:rPr>
      </w:pPr>
    </w:p>
    <w:p w14:paraId="51C47691" w14:textId="55D92E12" w:rsidR="001C3748" w:rsidRPr="00B10604" w:rsidRDefault="001C3748" w:rsidP="001C3748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eastAsia="Calibri" w:cstheme="minorHAnsi"/>
          <w:b/>
          <w:sz w:val="24"/>
          <w:szCs w:val="24"/>
        </w:rPr>
        <w:t>BILJEŠKE UZ O</w:t>
      </w:r>
      <w:r w:rsidR="00D32B66">
        <w:rPr>
          <w:rFonts w:eastAsia="Calibri" w:cstheme="minorHAnsi"/>
          <w:b/>
          <w:sz w:val="24"/>
          <w:szCs w:val="24"/>
        </w:rPr>
        <w:t>BVEZE NA DAN 31.12.202</w:t>
      </w:r>
      <w:r w:rsidR="00B73CDD">
        <w:rPr>
          <w:rFonts w:eastAsia="Calibri" w:cstheme="minorHAnsi"/>
          <w:b/>
          <w:sz w:val="24"/>
          <w:szCs w:val="24"/>
        </w:rPr>
        <w:t>4</w:t>
      </w:r>
      <w:r w:rsidRPr="00B10604">
        <w:rPr>
          <w:rFonts w:eastAsia="Calibri" w:cstheme="minorHAnsi"/>
          <w:b/>
          <w:sz w:val="24"/>
          <w:szCs w:val="24"/>
        </w:rPr>
        <w:t>. (Obrazac OBVEZE)</w:t>
      </w:r>
    </w:p>
    <w:p w14:paraId="790569AC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5FB3D2E2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B10604">
        <w:rPr>
          <w:rFonts w:cstheme="minorHAnsi"/>
          <w:sz w:val="24"/>
          <w:szCs w:val="24"/>
        </w:rPr>
        <w:t>Izvještaj o obvezama je financijski izvještaj koji pruža informaciju o obvezama za rashode poslovanja, obvezama za nabavu nefinancijske imovine i obvezama za financijsku imovinu, na način da se iskazuje stanje obveza na početku izvještajnog razdoblja, povećanje i podmirenje obveza u izvještajnom razdoblju, te stanje obveza na kraju izvještajnog razdoblja.</w:t>
      </w:r>
    </w:p>
    <w:p w14:paraId="10AE1B6B" w14:textId="77777777" w:rsidR="001C3748" w:rsidRPr="00B10604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</w:p>
    <w:p w14:paraId="025EA042" w14:textId="50CD6059" w:rsidR="001C3748" w:rsidRDefault="001C3748" w:rsidP="001C3748">
      <w:pPr>
        <w:autoSpaceDE w:val="0"/>
        <w:autoSpaceDN w:val="0"/>
        <w:adjustRightInd w:val="0"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B10604">
        <w:rPr>
          <w:rFonts w:eastAsia="Calibri" w:cstheme="minorHAnsi"/>
          <w:bCs/>
          <w:sz w:val="24"/>
          <w:szCs w:val="24"/>
        </w:rPr>
        <w:t>Stanje obveza na kraju izvještajnog razdoblja, odnosno na dan 31.12.202</w:t>
      </w:r>
      <w:r w:rsidR="00B73CDD">
        <w:rPr>
          <w:rFonts w:eastAsia="Calibri" w:cstheme="minorHAnsi"/>
          <w:bCs/>
          <w:sz w:val="24"/>
          <w:szCs w:val="24"/>
        </w:rPr>
        <w:t>4</w:t>
      </w:r>
      <w:r w:rsidRPr="00B10604">
        <w:rPr>
          <w:rFonts w:eastAsia="Calibri" w:cstheme="minorHAnsi"/>
          <w:bCs/>
          <w:sz w:val="24"/>
          <w:szCs w:val="24"/>
        </w:rPr>
        <w:t xml:space="preserve">. godine iznosi </w:t>
      </w:r>
      <w:r w:rsidR="004756FB">
        <w:rPr>
          <w:rFonts w:eastAsia="Calibri" w:cstheme="minorHAnsi"/>
          <w:bCs/>
          <w:sz w:val="24"/>
          <w:szCs w:val="24"/>
        </w:rPr>
        <w:t>51.699,15</w:t>
      </w:r>
      <w:r w:rsidR="00D32B66" w:rsidRPr="00D32B66">
        <w:rPr>
          <w:rFonts w:eastAsia="Calibri" w:cstheme="minorHAnsi"/>
          <w:bCs/>
          <w:sz w:val="24"/>
          <w:szCs w:val="24"/>
        </w:rPr>
        <w:t xml:space="preserve"> </w:t>
      </w:r>
      <w:r w:rsidR="004756FB">
        <w:rPr>
          <w:rFonts w:eastAsia="Calibri" w:cstheme="minorHAnsi"/>
          <w:bCs/>
          <w:sz w:val="24"/>
          <w:szCs w:val="24"/>
        </w:rPr>
        <w:t>eura</w:t>
      </w:r>
      <w:r w:rsidR="00D32B66">
        <w:rPr>
          <w:rFonts w:eastAsia="Calibri" w:cstheme="minorHAnsi"/>
          <w:bCs/>
          <w:sz w:val="24"/>
          <w:szCs w:val="24"/>
        </w:rPr>
        <w:t xml:space="preserve"> </w:t>
      </w:r>
      <w:r w:rsidRPr="00B10604">
        <w:rPr>
          <w:rFonts w:eastAsia="Calibri" w:cstheme="minorHAnsi"/>
          <w:bCs/>
          <w:sz w:val="24"/>
          <w:szCs w:val="24"/>
        </w:rPr>
        <w:t xml:space="preserve">(šifra V006) od čega su dopjele obveze u iznosu </w:t>
      </w:r>
      <w:r w:rsidR="004756FB">
        <w:rPr>
          <w:rFonts w:eastAsia="Calibri" w:cstheme="minorHAnsi"/>
          <w:bCs/>
          <w:sz w:val="24"/>
          <w:szCs w:val="24"/>
        </w:rPr>
        <w:t>248,89 eura</w:t>
      </w:r>
      <w:r w:rsidR="00D32B66">
        <w:rPr>
          <w:rFonts w:eastAsia="Calibri" w:cstheme="minorHAnsi"/>
          <w:bCs/>
          <w:sz w:val="24"/>
          <w:szCs w:val="24"/>
        </w:rPr>
        <w:t xml:space="preserve"> </w:t>
      </w:r>
      <w:r w:rsidRPr="00B10604">
        <w:rPr>
          <w:rFonts w:eastAsia="Calibri" w:cstheme="minorHAnsi"/>
          <w:bCs/>
          <w:sz w:val="24"/>
          <w:szCs w:val="24"/>
        </w:rPr>
        <w:t xml:space="preserve">(šifra V007), a nedospjele obveze (šifra V009) </w:t>
      </w:r>
      <w:r w:rsidR="004F545C">
        <w:rPr>
          <w:rFonts w:eastAsia="Calibri" w:cstheme="minorHAnsi"/>
          <w:bCs/>
          <w:sz w:val="24"/>
          <w:szCs w:val="24"/>
        </w:rPr>
        <w:t>51.450,26 eura</w:t>
      </w:r>
      <w:r w:rsidR="00D32B66">
        <w:rPr>
          <w:rFonts w:eastAsia="Calibri" w:cstheme="minorHAnsi"/>
          <w:bCs/>
          <w:sz w:val="24"/>
          <w:szCs w:val="24"/>
        </w:rPr>
        <w:t xml:space="preserve"> i </w:t>
      </w:r>
      <w:r w:rsidRPr="00B10604">
        <w:rPr>
          <w:rFonts w:eastAsia="Calibri" w:cstheme="minorHAnsi"/>
          <w:bCs/>
          <w:sz w:val="24"/>
          <w:szCs w:val="24"/>
        </w:rPr>
        <w:t>obuhvaćaju obveze za rashode poslovanja koji uključuju plaću za prosinac 202</w:t>
      </w:r>
      <w:r w:rsidR="004F545C">
        <w:rPr>
          <w:rFonts w:eastAsia="Calibri" w:cstheme="minorHAnsi"/>
          <w:bCs/>
          <w:sz w:val="24"/>
          <w:szCs w:val="24"/>
        </w:rPr>
        <w:t>4</w:t>
      </w:r>
      <w:r w:rsidRPr="00B10604">
        <w:rPr>
          <w:rFonts w:eastAsia="Calibri" w:cstheme="minorHAnsi"/>
          <w:bCs/>
          <w:sz w:val="24"/>
          <w:szCs w:val="24"/>
        </w:rPr>
        <w:t xml:space="preserve">. i obveze za </w:t>
      </w:r>
      <w:r w:rsidR="004F545C">
        <w:rPr>
          <w:rFonts w:eastAsia="Calibri" w:cstheme="minorHAnsi"/>
          <w:bCs/>
          <w:sz w:val="24"/>
          <w:szCs w:val="24"/>
        </w:rPr>
        <w:t>redovne materijalne rashode koje će biti podmirene u siječnju i veljači 2025.</w:t>
      </w:r>
      <w:r w:rsidRPr="00B10604">
        <w:rPr>
          <w:rFonts w:eastAsia="Calibri" w:cstheme="minorHAnsi"/>
          <w:bCs/>
          <w:sz w:val="24"/>
          <w:szCs w:val="24"/>
        </w:rPr>
        <w:t xml:space="preserve"> </w:t>
      </w:r>
    </w:p>
    <w:p w14:paraId="638AD638" w14:textId="33788600" w:rsidR="004817E9" w:rsidRPr="004817E9" w:rsidRDefault="004817E9" w:rsidP="004817E9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62151240" w14:textId="7777777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x-none" w:eastAsia="hr-HR"/>
        </w:rPr>
      </w:pPr>
    </w:p>
    <w:p w14:paraId="5D69FBE8" w14:textId="2328A947" w:rsidR="001C3748" w:rsidRPr="00B10604" w:rsidRDefault="001C3748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 w:rsidRPr="00B10604">
        <w:rPr>
          <w:rFonts w:eastAsia="Times New Roman" w:cstheme="minorHAnsi"/>
          <w:sz w:val="24"/>
          <w:szCs w:val="24"/>
          <w:lang w:val="x-none" w:eastAsia="hr-HR"/>
        </w:rPr>
        <w:t xml:space="preserve">U Rijeci, </w:t>
      </w:r>
      <w:r w:rsidR="00383EDE">
        <w:rPr>
          <w:rFonts w:eastAsia="Times New Roman" w:cstheme="minorHAnsi"/>
          <w:sz w:val="24"/>
          <w:szCs w:val="24"/>
          <w:lang w:eastAsia="hr-HR"/>
        </w:rPr>
        <w:t>30</w:t>
      </w:r>
      <w:r w:rsidR="00D874AB">
        <w:rPr>
          <w:rFonts w:eastAsia="Times New Roman" w:cstheme="minorHAnsi"/>
          <w:sz w:val="24"/>
          <w:szCs w:val="24"/>
          <w:lang w:eastAsia="hr-HR"/>
        </w:rPr>
        <w:t>.01.2025</w:t>
      </w:r>
      <w:r w:rsidRPr="00B10604">
        <w:rPr>
          <w:rFonts w:eastAsia="Times New Roman" w:cstheme="minorHAnsi"/>
          <w:sz w:val="24"/>
          <w:szCs w:val="24"/>
          <w:lang w:eastAsia="hr-HR"/>
        </w:rPr>
        <w:t>.</w:t>
      </w:r>
    </w:p>
    <w:p w14:paraId="45F1E399" w14:textId="13DAC86A" w:rsidR="001C3748" w:rsidRPr="00B10604" w:rsidRDefault="004F545C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x-none" w:eastAsia="hr-HR"/>
        </w:rPr>
      </w:pPr>
      <w:r>
        <w:rPr>
          <w:rFonts w:eastAsia="Times New Roman" w:cstheme="minorHAnsi"/>
          <w:sz w:val="24"/>
          <w:szCs w:val="24"/>
          <w:lang w:val="x-none" w:eastAsia="hr-HR"/>
        </w:rPr>
        <w:t xml:space="preserve">                              </w:t>
      </w:r>
      <w:r w:rsidR="001C3748" w:rsidRPr="00B10604">
        <w:rPr>
          <w:rFonts w:eastAsia="Times New Roman" w:cstheme="minorHAnsi"/>
          <w:sz w:val="24"/>
          <w:szCs w:val="24"/>
          <w:lang w:val="x-none" w:eastAsia="hr-HR"/>
        </w:rPr>
        <w:t xml:space="preserve">                                      </w:t>
      </w:r>
    </w:p>
    <w:p w14:paraId="21AD9894" w14:textId="77777777" w:rsidR="00383EDE" w:rsidRDefault="00383EDE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EE16BDF" w14:textId="77777777" w:rsidR="00383EDE" w:rsidRDefault="00383EDE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C664CDA" w14:textId="77777777" w:rsidR="00D856D9" w:rsidRDefault="00D856D9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8462CC3" w14:textId="77777777" w:rsidR="00D856D9" w:rsidRDefault="00D856D9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648FB8E7" w14:textId="77777777" w:rsidR="00D856D9" w:rsidRDefault="00D856D9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08F56E7C" w14:textId="77777777" w:rsidR="00D856D9" w:rsidRDefault="00D856D9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349FA4F" w14:textId="77777777" w:rsidR="00D856D9" w:rsidRDefault="00D856D9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E21721B" w14:textId="0822CDAE" w:rsidR="001C3748" w:rsidRPr="00383EDE" w:rsidRDefault="00383EDE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Voditeljica računovodstva</w:t>
      </w:r>
      <w:r w:rsidR="001C3748" w:rsidRPr="00B10604">
        <w:rPr>
          <w:rFonts w:eastAsia="Times New Roman" w:cstheme="minorHAnsi"/>
          <w:sz w:val="24"/>
          <w:szCs w:val="24"/>
          <w:lang w:val="x-none" w:eastAsia="hr-HR"/>
        </w:rPr>
        <w:tab/>
      </w:r>
      <w:r w:rsidR="001C3748" w:rsidRPr="00B10604">
        <w:rPr>
          <w:rFonts w:eastAsia="Times New Roman" w:cstheme="minorHAnsi"/>
          <w:sz w:val="24"/>
          <w:szCs w:val="24"/>
          <w:lang w:val="x-none" w:eastAsia="hr-HR"/>
        </w:rPr>
        <w:tab/>
      </w:r>
      <w:r w:rsidR="001C3748" w:rsidRPr="00B10604">
        <w:rPr>
          <w:rFonts w:eastAsia="Times New Roman" w:cstheme="minorHAnsi"/>
          <w:sz w:val="24"/>
          <w:szCs w:val="24"/>
          <w:lang w:val="x-none" w:eastAsia="hr-HR"/>
        </w:rPr>
        <w:tab/>
      </w:r>
      <w:r w:rsidR="001C3748" w:rsidRPr="00B10604">
        <w:rPr>
          <w:rFonts w:eastAsia="Times New Roman" w:cstheme="minorHAnsi"/>
          <w:sz w:val="24"/>
          <w:szCs w:val="24"/>
          <w:lang w:val="x-none" w:eastAsia="hr-HR"/>
        </w:rPr>
        <w:tab/>
      </w:r>
      <w:r w:rsidR="001C3748" w:rsidRPr="00B10604">
        <w:rPr>
          <w:rFonts w:eastAsia="Times New Roman" w:cstheme="minorHAnsi"/>
          <w:sz w:val="24"/>
          <w:szCs w:val="24"/>
          <w:lang w:val="x-none" w:eastAsia="hr-HR"/>
        </w:rPr>
        <w:tab/>
      </w:r>
      <w:r>
        <w:rPr>
          <w:rFonts w:eastAsia="Times New Roman" w:cstheme="minorHAnsi"/>
          <w:sz w:val="24"/>
          <w:szCs w:val="24"/>
          <w:lang w:eastAsia="hr-HR"/>
        </w:rPr>
        <w:t>Ravnatelj:</w:t>
      </w:r>
    </w:p>
    <w:p w14:paraId="64238093" w14:textId="4E16E835" w:rsidR="001C3748" w:rsidRPr="00A53009" w:rsidRDefault="00A53009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Tajana Žuža</w:t>
      </w:r>
    </w:p>
    <w:p w14:paraId="1885FC4D" w14:textId="36EA6E1F" w:rsidR="00383EDE" w:rsidRPr="00A53009" w:rsidRDefault="00A53009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 _____________________     </w:t>
      </w:r>
    </w:p>
    <w:p w14:paraId="0969622B" w14:textId="24D23035" w:rsidR="00974187" w:rsidRPr="001C3748" w:rsidRDefault="00A53009" w:rsidP="001C3748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val="x-none"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                                              </w:t>
      </w:r>
      <w:r w:rsidR="00383EDE">
        <w:rPr>
          <w:rFonts w:eastAsia="Times New Roman" w:cstheme="minorHAnsi"/>
          <w:sz w:val="24"/>
          <w:szCs w:val="24"/>
          <w:lang w:eastAsia="hr-HR"/>
        </w:rPr>
        <w:t>Edvin Liverić Bassani</w:t>
      </w:r>
      <w:r w:rsidR="001C3748" w:rsidRPr="00B10604">
        <w:rPr>
          <w:rFonts w:eastAsia="Times New Roman" w:cstheme="minorHAnsi"/>
          <w:sz w:val="24"/>
          <w:szCs w:val="24"/>
          <w:lang w:eastAsia="hr-HR"/>
        </w:rPr>
        <w:t xml:space="preserve">                                                         </w:t>
      </w:r>
    </w:p>
    <w:sectPr w:rsidR="00974187" w:rsidRPr="001C3748" w:rsidSect="007D0C1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FDFF7" w14:textId="77777777" w:rsidR="006B7A25" w:rsidRDefault="006B7A25" w:rsidP="007D0C1A">
      <w:pPr>
        <w:spacing w:after="0" w:line="240" w:lineRule="auto"/>
      </w:pPr>
      <w:r>
        <w:separator/>
      </w:r>
    </w:p>
  </w:endnote>
  <w:endnote w:type="continuationSeparator" w:id="0">
    <w:p w14:paraId="78206AC3" w14:textId="77777777" w:rsidR="006B7A25" w:rsidRDefault="006B7A25" w:rsidP="007D0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287698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235F72" w14:textId="16E53471" w:rsidR="007D0C1A" w:rsidRDefault="007D0C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D501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7FEE952" w14:textId="77777777" w:rsidR="007D0C1A" w:rsidRDefault="007D0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D05B" w14:textId="77777777" w:rsidR="006B7A25" w:rsidRDefault="006B7A25" w:rsidP="007D0C1A">
      <w:pPr>
        <w:spacing w:after="0" w:line="240" w:lineRule="auto"/>
      </w:pPr>
      <w:r>
        <w:separator/>
      </w:r>
    </w:p>
  </w:footnote>
  <w:footnote w:type="continuationSeparator" w:id="0">
    <w:p w14:paraId="68FB588D" w14:textId="77777777" w:rsidR="006B7A25" w:rsidRDefault="006B7A25" w:rsidP="007D0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F20CA1"/>
    <w:multiLevelType w:val="hybridMultilevel"/>
    <w:tmpl w:val="7FF8DA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DE2E79"/>
    <w:multiLevelType w:val="hybridMultilevel"/>
    <w:tmpl w:val="3E5CCD1E"/>
    <w:lvl w:ilvl="0" w:tplc="36CC996C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529140E7"/>
    <w:multiLevelType w:val="hybridMultilevel"/>
    <w:tmpl w:val="614AF1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4E2A4B"/>
    <w:multiLevelType w:val="hybridMultilevel"/>
    <w:tmpl w:val="1206F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22D76"/>
    <w:multiLevelType w:val="hybridMultilevel"/>
    <w:tmpl w:val="A10E22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7D4D50"/>
    <w:multiLevelType w:val="hybridMultilevel"/>
    <w:tmpl w:val="C6F67F7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E7A02"/>
    <w:multiLevelType w:val="hybridMultilevel"/>
    <w:tmpl w:val="D99CE1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292736">
    <w:abstractNumId w:val="6"/>
  </w:num>
  <w:num w:numId="2" w16cid:durableId="1655524594">
    <w:abstractNumId w:val="3"/>
  </w:num>
  <w:num w:numId="3" w16cid:durableId="1032801833">
    <w:abstractNumId w:val="4"/>
  </w:num>
  <w:num w:numId="4" w16cid:durableId="1756970007">
    <w:abstractNumId w:val="5"/>
  </w:num>
  <w:num w:numId="5" w16cid:durableId="628779987">
    <w:abstractNumId w:val="0"/>
  </w:num>
  <w:num w:numId="6" w16cid:durableId="2143031667">
    <w:abstractNumId w:val="2"/>
  </w:num>
  <w:num w:numId="7" w16cid:durableId="1034035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748"/>
    <w:rsid w:val="00000DBF"/>
    <w:rsid w:val="00045532"/>
    <w:rsid w:val="00054A41"/>
    <w:rsid w:val="00057CCF"/>
    <w:rsid w:val="000722C9"/>
    <w:rsid w:val="00112A7C"/>
    <w:rsid w:val="00133F37"/>
    <w:rsid w:val="00142D8A"/>
    <w:rsid w:val="00176E01"/>
    <w:rsid w:val="001A62B2"/>
    <w:rsid w:val="001C3748"/>
    <w:rsid w:val="001C6432"/>
    <w:rsid w:val="001C7494"/>
    <w:rsid w:val="001D5010"/>
    <w:rsid w:val="00207F54"/>
    <w:rsid w:val="00212F3A"/>
    <w:rsid w:val="0022079D"/>
    <w:rsid w:val="002254BA"/>
    <w:rsid w:val="0026607F"/>
    <w:rsid w:val="002E7DAE"/>
    <w:rsid w:val="002F50DD"/>
    <w:rsid w:val="00383EDE"/>
    <w:rsid w:val="003E2311"/>
    <w:rsid w:val="003E35DF"/>
    <w:rsid w:val="003E7F8F"/>
    <w:rsid w:val="003F0F8F"/>
    <w:rsid w:val="0041258F"/>
    <w:rsid w:val="00467F38"/>
    <w:rsid w:val="004756FB"/>
    <w:rsid w:val="004817E9"/>
    <w:rsid w:val="004E45FB"/>
    <w:rsid w:val="004F3CBC"/>
    <w:rsid w:val="004F545C"/>
    <w:rsid w:val="005058C4"/>
    <w:rsid w:val="0055670E"/>
    <w:rsid w:val="00587990"/>
    <w:rsid w:val="006319C3"/>
    <w:rsid w:val="006756F2"/>
    <w:rsid w:val="006826BB"/>
    <w:rsid w:val="006A4375"/>
    <w:rsid w:val="006B25CA"/>
    <w:rsid w:val="006B7A25"/>
    <w:rsid w:val="006D100A"/>
    <w:rsid w:val="006F6114"/>
    <w:rsid w:val="00727B77"/>
    <w:rsid w:val="007621E3"/>
    <w:rsid w:val="00766C10"/>
    <w:rsid w:val="007D0C1A"/>
    <w:rsid w:val="00803829"/>
    <w:rsid w:val="0081426E"/>
    <w:rsid w:val="00885449"/>
    <w:rsid w:val="00897EC5"/>
    <w:rsid w:val="008B2869"/>
    <w:rsid w:val="00902EEC"/>
    <w:rsid w:val="009204BD"/>
    <w:rsid w:val="00925097"/>
    <w:rsid w:val="009314D2"/>
    <w:rsid w:val="00940720"/>
    <w:rsid w:val="0095750F"/>
    <w:rsid w:val="009704AB"/>
    <w:rsid w:val="00971872"/>
    <w:rsid w:val="00974187"/>
    <w:rsid w:val="00990E3E"/>
    <w:rsid w:val="009E5A26"/>
    <w:rsid w:val="009E6AD7"/>
    <w:rsid w:val="00A53009"/>
    <w:rsid w:val="00A60D1E"/>
    <w:rsid w:val="00A628D5"/>
    <w:rsid w:val="00A83A60"/>
    <w:rsid w:val="00AB19B7"/>
    <w:rsid w:val="00B03004"/>
    <w:rsid w:val="00B33603"/>
    <w:rsid w:val="00B40EBC"/>
    <w:rsid w:val="00B61F93"/>
    <w:rsid w:val="00B6247F"/>
    <w:rsid w:val="00B657D3"/>
    <w:rsid w:val="00B73CDD"/>
    <w:rsid w:val="00BC4650"/>
    <w:rsid w:val="00BE1BDA"/>
    <w:rsid w:val="00C57148"/>
    <w:rsid w:val="00C729BF"/>
    <w:rsid w:val="00C83A2D"/>
    <w:rsid w:val="00CB61AD"/>
    <w:rsid w:val="00CF334E"/>
    <w:rsid w:val="00CF633A"/>
    <w:rsid w:val="00D00E0C"/>
    <w:rsid w:val="00D12767"/>
    <w:rsid w:val="00D248AB"/>
    <w:rsid w:val="00D32B66"/>
    <w:rsid w:val="00D856D9"/>
    <w:rsid w:val="00D870C0"/>
    <w:rsid w:val="00D874AB"/>
    <w:rsid w:val="00DC72CB"/>
    <w:rsid w:val="00E07EA2"/>
    <w:rsid w:val="00E145A0"/>
    <w:rsid w:val="00E4704D"/>
    <w:rsid w:val="00E66317"/>
    <w:rsid w:val="00E9781A"/>
    <w:rsid w:val="00EB148A"/>
    <w:rsid w:val="00EC6E3F"/>
    <w:rsid w:val="00EF2A3C"/>
    <w:rsid w:val="00EF433D"/>
    <w:rsid w:val="00F066F3"/>
    <w:rsid w:val="00F06983"/>
    <w:rsid w:val="00F26CB9"/>
    <w:rsid w:val="00F63F5F"/>
    <w:rsid w:val="00F83F3E"/>
    <w:rsid w:val="00F9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0EF90"/>
  <w15:chartTrackingRefBased/>
  <w15:docId w15:val="{DF673C1E-EDAC-4919-90BA-91055955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7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748"/>
    <w:pPr>
      <w:ind w:left="720"/>
      <w:contextualSpacing/>
    </w:pPr>
  </w:style>
  <w:style w:type="paragraph" w:customStyle="1" w:styleId="Default">
    <w:name w:val="Default"/>
    <w:rsid w:val="001C37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D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C1A"/>
  </w:style>
  <w:style w:type="paragraph" w:styleId="Footer">
    <w:name w:val="footer"/>
    <w:basedOn w:val="Normal"/>
    <w:link w:val="FooterChar"/>
    <w:uiPriority w:val="99"/>
    <w:unhideWhenUsed/>
    <w:rsid w:val="007D0C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C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7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6</Pages>
  <Words>2062</Words>
  <Characters>11755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Grbčić Pejić Barbara</dc:creator>
  <cp:keywords/>
  <dc:description/>
  <cp:lastModifiedBy>Žuža Tajana</cp:lastModifiedBy>
  <cp:revision>8</cp:revision>
  <cp:lastPrinted>2025-01-30T11:51:00Z</cp:lastPrinted>
  <dcterms:created xsi:type="dcterms:W3CDTF">2025-01-27T14:23:00Z</dcterms:created>
  <dcterms:modified xsi:type="dcterms:W3CDTF">2025-01-30T11:53:00Z</dcterms:modified>
</cp:coreProperties>
</file>